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440" w:lineRule="exact"/>
        <w:ind w:left="0" w:leftChars="0" w:right="0" w:firstLine="0" w:firstLineChars="0"/>
        <w:jc w:val="right"/>
        <w:textAlignment w:val="auto"/>
        <w:outlineLvl w:val="9"/>
        <w:rPr>
          <w:rFonts w:hint="eastAsia" w:ascii="仿宋" w:hAnsi="仿宋" w:eastAsia="仿宋" w:cs="仿宋"/>
          <w:color w:val="000000"/>
          <w:sz w:val="28"/>
          <w:szCs w:val="28"/>
          <w:lang w:val="en-US" w:eastAsia="zh-CN"/>
        </w:rPr>
      </w:pPr>
    </w:p>
    <w:p>
      <w:pPr>
        <w:widowControl w:val="0"/>
        <w:wordWrap/>
        <w:adjustRightInd/>
        <w:snapToGrid/>
        <w:spacing w:before="0" w:after="0" w:line="600" w:lineRule="exact"/>
        <w:ind w:left="0" w:leftChars="0" w:right="0" w:firstLine="0" w:firstLineChars="0"/>
        <w:jc w:val="right"/>
        <w:textAlignment w:val="auto"/>
        <w:outlineLvl w:val="9"/>
        <w:rPr>
          <w:rFonts w:hint="eastAsia" w:ascii="仿宋" w:hAnsi="仿宋" w:eastAsia="仿宋" w:cs="仿宋"/>
          <w:color w:val="000000"/>
          <w:sz w:val="28"/>
          <w:szCs w:val="28"/>
          <w:lang w:val="en-US" w:eastAsia="zh-CN"/>
        </w:rPr>
      </w:pPr>
    </w:p>
    <w:p>
      <w:pPr>
        <w:widowControl w:val="0"/>
        <w:wordWrap/>
        <w:adjustRightInd/>
        <w:snapToGrid/>
        <w:spacing w:before="0" w:after="0" w:line="440" w:lineRule="exact"/>
        <w:ind w:left="0" w:leftChars="0" w:right="0" w:firstLine="0" w:firstLineChars="0"/>
        <w:jc w:val="right"/>
        <w:textAlignment w:val="auto"/>
        <w:outlineLvl w:val="9"/>
        <w:rPr>
          <w:rFonts w:hint="eastAsia" w:ascii="仿宋" w:hAnsi="仿宋" w:eastAsia="仿宋" w:cs="仿宋"/>
          <w:color w:val="000000"/>
          <w:sz w:val="28"/>
          <w:szCs w:val="28"/>
          <w:lang w:val="en-US" w:eastAsia="zh-CN"/>
        </w:rPr>
      </w:pPr>
    </w:p>
    <w:p>
      <w:pPr>
        <w:widowControl w:val="0"/>
        <w:wordWrap/>
        <w:adjustRightInd/>
        <w:snapToGrid/>
        <w:spacing w:before="0" w:after="0" w:line="440" w:lineRule="exact"/>
        <w:ind w:left="0" w:leftChars="0" w:right="0" w:firstLine="0" w:firstLineChars="0"/>
        <w:jc w:val="right"/>
        <w:textAlignment w:val="auto"/>
        <w:outlineLvl w:val="9"/>
        <w:rPr>
          <w:rFonts w:hint="eastAsia" w:ascii="仿宋" w:hAnsi="仿宋" w:eastAsia="仿宋" w:cs="仿宋"/>
          <w:color w:val="000000"/>
          <w:sz w:val="28"/>
          <w:szCs w:val="28"/>
          <w:lang w:val="en-US" w:eastAsia="zh-CN"/>
        </w:rPr>
      </w:pPr>
    </w:p>
    <w:p>
      <w:pPr>
        <w:adjustRightInd/>
        <w:spacing w:before="0" w:after="0" w:line="680" w:lineRule="exact"/>
        <w:jc w:val="right"/>
        <w:rPr>
          <w:rFonts w:hint="eastAsia" w:ascii="仿宋" w:hAnsi="仿宋" w:eastAsia="仿宋" w:cs="仿宋"/>
          <w:color w:val="000000"/>
          <w:sz w:val="28"/>
          <w:szCs w:val="28"/>
          <w:lang w:val="en-US" w:eastAsia="zh-CN"/>
        </w:rPr>
      </w:pPr>
    </w:p>
    <w:p>
      <w:pPr>
        <w:widowControl w:val="0"/>
        <w:kinsoku w:val="0"/>
        <w:wordWrap/>
        <w:autoSpaceDE w:val="0"/>
        <w:autoSpaceDN w:val="0"/>
        <w:adjustRightInd/>
        <w:snapToGrid/>
        <w:spacing w:before="0" w:after="0" w:line="840" w:lineRule="exact"/>
        <w:ind w:left="0" w:leftChars="0" w:right="0" w:firstLine="0" w:firstLineChars="0"/>
        <w:jc w:val="center"/>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widowControl w:val="0"/>
        <w:wordWrap/>
        <w:adjustRightInd/>
        <w:snapToGrid/>
        <w:spacing w:before="0" w:after="0" w:line="680" w:lineRule="exact"/>
        <w:ind w:left="0" w:leftChars="0" w:right="0" w:firstLine="0" w:firstLine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荔政规〔2024〕2号</w:t>
      </w:r>
    </w:p>
    <w:p>
      <w:pPr>
        <w:widowControl/>
        <w:shd w:val="clear" w:color="auto" w:fill="FFFFFF"/>
        <w:wordWrap/>
        <w:adjustRightInd/>
        <w:snapToGrid/>
        <w:spacing w:before="0" w:after="0" w:line="600" w:lineRule="exact"/>
        <w:ind w:left="0" w:leftChars="0" w:right="0" w:firstLine="0" w:firstLineChars="0"/>
        <w:jc w:val="center"/>
        <w:textAlignment w:val="auto"/>
        <w:outlineLvl w:val="9"/>
        <w:rPr>
          <w:rFonts w:hint="eastAsia" w:ascii="仿宋" w:hAnsi="仿宋" w:eastAsia="仿宋" w:cs="仿宋"/>
          <w:b w:val="0"/>
          <w:bCs w:val="0"/>
          <w:color w:val="auto"/>
          <w:kern w:val="0"/>
          <w:sz w:val="32"/>
          <w:szCs w:val="32"/>
          <w:lang w:eastAsia="zh-CN"/>
        </w:rPr>
      </w:pPr>
    </w:p>
    <w:p>
      <w:pPr>
        <w:widowControl w:val="0"/>
        <w:wordWrap/>
        <w:adjustRightInd/>
        <w:snapToGrid/>
        <w:spacing w:before="0" w:beforeAutospacing="0" w:after="0" w:afterAutospacing="0" w:line="620" w:lineRule="exact"/>
        <w:ind w:left="0" w:leftChars="0" w:right="0" w:firstLine="0" w:firstLineChars="0"/>
        <w:jc w:val="center"/>
        <w:textAlignment w:val="auto"/>
        <w:outlineLvl w:val="9"/>
        <w:rPr>
          <w:rFonts w:hint="eastAsia" w:ascii="方正小标宋简体" w:hAnsi="黑体" w:eastAsia="方正小标宋简体" w:cs="宋体"/>
          <w:color w:val="auto"/>
          <w:sz w:val="44"/>
          <w:szCs w:val="44"/>
          <w:lang w:val="en-US" w:eastAsia="zh-CN"/>
        </w:rPr>
      </w:pPr>
    </w:p>
    <w:p>
      <w:pPr>
        <w:spacing w:after="0" w:line="590" w:lineRule="exact"/>
        <w:jc w:val="center"/>
        <w:rPr>
          <w:rFonts w:hint="eastAsia" w:ascii="方正小标宋简体" w:hAnsi="方正小标宋简体" w:eastAsia="方正小标宋简体" w:cs="方正小标宋简体"/>
          <w:b w:val="0"/>
          <w:bCs w:val="0"/>
          <w:color w:val="auto"/>
          <w:spacing w:val="0"/>
          <w:w w:val="100"/>
          <w:sz w:val="42"/>
          <w:szCs w:val="42"/>
          <w:lang w:val="en-US" w:eastAsia="zh-CN"/>
        </w:rPr>
      </w:pPr>
      <w:r>
        <w:rPr>
          <w:rFonts w:hint="eastAsia" w:ascii="方正小标宋简体" w:hAnsi="方正小标宋简体" w:eastAsia="方正小标宋简体" w:cs="方正小标宋简体"/>
          <w:b w:val="0"/>
          <w:bCs w:val="0"/>
          <w:color w:val="auto"/>
          <w:spacing w:val="0"/>
          <w:w w:val="100"/>
          <w:sz w:val="42"/>
          <w:szCs w:val="42"/>
          <w:lang w:val="en-US" w:eastAsia="zh-CN"/>
        </w:rPr>
        <w:t>莆田市荔城区人民政府关于</w:t>
      </w:r>
      <w:bookmarkStart w:id="0" w:name="_Hlk160786436"/>
      <w:r>
        <w:rPr>
          <w:rFonts w:hint="eastAsia" w:ascii="方正小标宋简体" w:hAnsi="方正小标宋简体" w:eastAsia="方正小标宋简体" w:cs="方正小标宋简体"/>
          <w:b w:val="0"/>
          <w:bCs w:val="0"/>
          <w:color w:val="auto"/>
          <w:spacing w:val="0"/>
          <w:w w:val="100"/>
          <w:sz w:val="42"/>
          <w:szCs w:val="42"/>
          <w:lang w:val="en-US" w:eastAsia="zh-CN"/>
        </w:rPr>
        <w:t>印发</w:t>
      </w:r>
    </w:p>
    <w:p>
      <w:pPr>
        <w:spacing w:after="0" w:line="590" w:lineRule="exact"/>
        <w:jc w:val="center"/>
        <w:rPr>
          <w:rFonts w:hint="eastAsia" w:ascii="方正小标宋简体" w:hAnsi="方正小标宋简体" w:eastAsia="方正小标宋简体" w:cs="方正小标宋简体"/>
          <w:b w:val="0"/>
          <w:bCs w:val="0"/>
          <w:color w:val="auto"/>
          <w:spacing w:val="0"/>
          <w:w w:val="100"/>
          <w:sz w:val="42"/>
          <w:szCs w:val="42"/>
          <w:lang w:val="en-US" w:eastAsia="zh-CN"/>
        </w:rPr>
      </w:pPr>
      <w:r>
        <w:rPr>
          <w:rFonts w:hint="eastAsia" w:ascii="方正小标宋简体" w:hAnsi="方正小标宋简体" w:eastAsia="方正小标宋简体" w:cs="方正小标宋简体"/>
          <w:b w:val="0"/>
          <w:bCs w:val="0"/>
          <w:color w:val="auto"/>
          <w:spacing w:val="0"/>
          <w:w w:val="100"/>
          <w:sz w:val="42"/>
          <w:szCs w:val="42"/>
          <w:lang w:val="en-US" w:eastAsia="zh-CN"/>
        </w:rPr>
        <w:t>《莆田市荔城区农村集体经营性建设用地入市实施办法》的通知</w:t>
      </w:r>
      <w:bookmarkEnd w:id="0"/>
    </w:p>
    <w:p>
      <w:pPr>
        <w:spacing w:after="0" w:line="590" w:lineRule="exact"/>
        <w:ind w:firstLine="640" w:firstLineChars="200"/>
        <w:rPr>
          <w:rFonts w:ascii="仿宋" w:hAnsi="仿宋" w:eastAsia="仿宋" w:cs="仿宋"/>
          <w:color w:val="000000"/>
          <w:szCs w:val="32"/>
        </w:rPr>
      </w:pPr>
    </w:p>
    <w:p>
      <w:pPr>
        <w:spacing w:after="0" w:line="590" w:lineRule="exact"/>
        <w:rPr>
          <w:rFonts w:ascii="仿宋" w:hAnsi="仿宋" w:eastAsia="仿宋" w:cs="仿宋"/>
          <w:color w:val="000000"/>
          <w:szCs w:val="32"/>
        </w:rPr>
      </w:pPr>
      <w:r>
        <w:rPr>
          <w:rFonts w:hint="eastAsia" w:ascii="仿宋" w:hAnsi="仿宋" w:eastAsia="仿宋" w:cs="仿宋"/>
          <w:color w:val="000000"/>
          <w:szCs w:val="32"/>
        </w:rPr>
        <w:t>各镇人民政府、街道办事处，区有关单位：</w:t>
      </w:r>
    </w:p>
    <w:p>
      <w:pPr>
        <w:spacing w:after="0" w:line="590" w:lineRule="exact"/>
        <w:ind w:firstLine="640" w:firstLineChars="200"/>
        <w:rPr>
          <w:rFonts w:ascii="仿宋" w:hAnsi="仿宋" w:eastAsia="仿宋" w:cs="仿宋"/>
          <w:color w:val="000000"/>
          <w:szCs w:val="32"/>
        </w:rPr>
      </w:pPr>
      <w:bookmarkStart w:id="1" w:name="_Hlk160007858"/>
      <w:r>
        <w:rPr>
          <w:rFonts w:hint="eastAsia" w:ascii="仿宋" w:hAnsi="仿宋" w:eastAsia="仿宋" w:cs="仿宋"/>
          <w:color w:val="000000"/>
          <w:szCs w:val="32"/>
          <w:lang w:eastAsia="zh-CN"/>
        </w:rPr>
        <w:t>经研究，</w:t>
      </w:r>
      <w:r>
        <w:rPr>
          <w:rFonts w:hint="eastAsia" w:ascii="仿宋" w:hAnsi="仿宋" w:eastAsia="仿宋" w:cs="仿宋"/>
          <w:color w:val="000000"/>
          <w:szCs w:val="32"/>
        </w:rPr>
        <w:t>现</w:t>
      </w:r>
      <w:r>
        <w:rPr>
          <w:rFonts w:hint="eastAsia" w:ascii="仿宋" w:hAnsi="仿宋" w:eastAsia="仿宋" w:cs="仿宋"/>
          <w:color w:val="000000"/>
          <w:szCs w:val="32"/>
          <w:lang w:eastAsia="zh-CN"/>
        </w:rPr>
        <w:t>将</w:t>
      </w:r>
      <w:r>
        <w:rPr>
          <w:rFonts w:hint="eastAsia" w:ascii="仿宋" w:hAnsi="仿宋" w:eastAsia="仿宋" w:cs="仿宋"/>
          <w:color w:val="000000"/>
          <w:szCs w:val="32"/>
        </w:rPr>
        <w:t>《莆田市荔城区农村集体经营性建设用地入市实施办法》印发给你们，请认真</w:t>
      </w:r>
      <w:r>
        <w:rPr>
          <w:rFonts w:hint="eastAsia" w:ascii="仿宋" w:hAnsi="仿宋" w:eastAsia="仿宋" w:cs="仿宋"/>
          <w:color w:val="000000"/>
          <w:szCs w:val="32"/>
          <w:lang w:eastAsia="zh-CN"/>
        </w:rPr>
        <w:t>组织实施</w:t>
      </w:r>
      <w:r>
        <w:rPr>
          <w:rFonts w:hint="eastAsia" w:ascii="仿宋" w:hAnsi="仿宋" w:eastAsia="仿宋" w:cs="仿宋"/>
          <w:color w:val="000000"/>
          <w:szCs w:val="32"/>
        </w:rPr>
        <w:t>。</w:t>
      </w:r>
    </w:p>
    <w:p>
      <w:pPr>
        <w:spacing w:after="0" w:line="590" w:lineRule="exact"/>
        <w:ind w:firstLine="3200" w:firstLineChars="1000"/>
        <w:rPr>
          <w:rFonts w:ascii="仿宋" w:hAnsi="仿宋" w:eastAsia="仿宋" w:cs="仿宋"/>
          <w:color w:val="000000"/>
          <w:szCs w:val="32"/>
        </w:rPr>
      </w:pPr>
    </w:p>
    <w:p>
      <w:pPr>
        <w:spacing w:after="0" w:line="590" w:lineRule="exact"/>
        <w:ind w:firstLine="3200" w:firstLineChars="1000"/>
        <w:rPr>
          <w:rFonts w:ascii="仿宋" w:hAnsi="仿宋" w:eastAsia="仿宋" w:cs="仿宋"/>
          <w:color w:val="000000"/>
          <w:szCs w:val="32"/>
        </w:rPr>
      </w:pPr>
    </w:p>
    <w:p>
      <w:pPr>
        <w:wordWrap w:val="0"/>
        <w:spacing w:after="0" w:line="590" w:lineRule="exact"/>
        <w:jc w:val="right"/>
        <w:rPr>
          <w:rFonts w:ascii="仿宋" w:hAnsi="仿宋" w:eastAsia="仿宋" w:cs="仿宋"/>
          <w:color w:val="000000"/>
          <w:szCs w:val="32"/>
        </w:rPr>
      </w:pPr>
      <w:r>
        <w:rPr>
          <w:rFonts w:hint="eastAsia" w:ascii="仿宋" w:hAnsi="仿宋" w:eastAsia="仿宋" w:cs="仿宋"/>
          <w:color w:val="000000"/>
          <w:szCs w:val="32"/>
        </w:rPr>
        <w:t xml:space="preserve">莆田市荔城区人民政府      </w:t>
      </w:r>
    </w:p>
    <w:p>
      <w:pPr>
        <w:widowControl w:val="0"/>
        <w:wordWrap w:val="0"/>
        <w:adjustRightInd/>
        <w:snapToGrid/>
        <w:spacing w:before="120" w:after="0" w:line="590" w:lineRule="exact"/>
        <w:ind w:left="0" w:leftChars="0" w:right="0" w:firstLine="4160" w:firstLineChars="1300"/>
        <w:jc w:val="right"/>
        <w:textAlignment w:val="auto"/>
        <w:outlineLvl w:val="9"/>
        <w:rPr>
          <w:rFonts w:hint="default" w:ascii="仿宋" w:hAnsi="仿宋" w:eastAsia="仿宋" w:cs="仿宋"/>
          <w:color w:val="000000"/>
          <w:szCs w:val="32"/>
          <w:lang w:val="en-US" w:eastAsia="zh-CN"/>
        </w:rPr>
      </w:pPr>
      <w:r>
        <w:rPr>
          <w:rFonts w:hint="eastAsia" w:ascii="仿宋" w:hAnsi="仿宋" w:eastAsia="仿宋" w:cs="仿宋"/>
          <w:color w:val="000000"/>
          <w:szCs w:val="32"/>
        </w:rPr>
        <w:t>2024年</w:t>
      </w:r>
      <w:r>
        <w:rPr>
          <w:rFonts w:hint="eastAsia" w:ascii="仿宋" w:hAnsi="仿宋" w:eastAsia="仿宋" w:cs="仿宋"/>
          <w:color w:val="000000"/>
          <w:szCs w:val="32"/>
          <w:lang w:val="en-US" w:eastAsia="zh-CN"/>
        </w:rPr>
        <w:t>4</w:t>
      </w:r>
      <w:r>
        <w:rPr>
          <w:rFonts w:hint="eastAsia" w:ascii="仿宋" w:hAnsi="仿宋" w:eastAsia="仿宋" w:cs="仿宋"/>
          <w:color w:val="000000"/>
          <w:szCs w:val="32"/>
        </w:rPr>
        <w:t>月</w:t>
      </w:r>
      <w:r>
        <w:rPr>
          <w:rFonts w:hint="eastAsia" w:ascii="仿宋" w:hAnsi="仿宋" w:eastAsia="仿宋" w:cs="仿宋"/>
          <w:color w:val="000000"/>
          <w:szCs w:val="32"/>
          <w:lang w:val="en-US" w:eastAsia="zh-CN"/>
        </w:rPr>
        <w:t>10</w:t>
      </w:r>
      <w:r>
        <w:rPr>
          <w:rFonts w:hint="eastAsia" w:ascii="仿宋" w:hAnsi="仿宋" w:eastAsia="仿宋" w:cs="仿宋"/>
          <w:color w:val="000000"/>
          <w:szCs w:val="32"/>
        </w:rPr>
        <w:t>日</w:t>
      </w:r>
      <w:r>
        <w:rPr>
          <w:rFonts w:hint="eastAsia" w:ascii="仿宋" w:hAnsi="仿宋" w:eastAsia="仿宋" w:cs="仿宋"/>
          <w:color w:val="000000"/>
          <w:szCs w:val="32"/>
          <w:lang w:val="en-US" w:eastAsia="zh-CN"/>
        </w:rPr>
        <w:t xml:space="preserve">        </w:t>
      </w:r>
    </w:p>
    <w:p>
      <w:pPr>
        <w:widowControl w:val="0"/>
        <w:wordWrap/>
        <w:adjustRightInd/>
        <w:snapToGrid/>
        <w:spacing w:before="0" w:after="0" w:line="300" w:lineRule="exact"/>
        <w:ind w:left="0" w:leftChars="0" w:right="0" w:firstLine="640" w:firstLineChars="200"/>
        <w:jc w:val="both"/>
        <w:textAlignment w:val="auto"/>
        <w:outlineLvl w:val="9"/>
        <w:rPr>
          <w:rFonts w:hint="eastAsia" w:ascii="仿宋" w:hAnsi="仿宋" w:eastAsia="仿宋" w:cs="仿宋"/>
          <w:color w:val="000000"/>
          <w:szCs w:val="32"/>
        </w:rPr>
      </w:pP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（此件主动公开）</w:t>
      </w:r>
      <w:bookmarkEnd w:id="1"/>
    </w:p>
    <w:p>
      <w:pPr>
        <w:spacing w:after="0" w:line="590" w:lineRule="exact"/>
        <w:jc w:val="center"/>
        <w:rPr>
          <w:rFonts w:ascii="方正小标宋简体" w:hAnsi="方正小标宋简体" w:eastAsia="方正小标宋简体"/>
          <w:color w:val="000000"/>
          <w:sz w:val="44"/>
          <w:szCs w:val="44"/>
        </w:rPr>
      </w:pPr>
      <w:r>
        <w:rPr>
          <w:rFonts w:hint="eastAsia" w:ascii="仿宋" w:hAnsi="仿宋" w:eastAsia="仿宋" w:cs="仿宋"/>
          <w:color w:val="000000"/>
          <w:sz w:val="31"/>
          <w:szCs w:val="31"/>
        </w:rPr>
        <w:br w:type="page"/>
      </w:r>
      <w:r>
        <w:rPr>
          <w:rFonts w:hint="eastAsia" w:ascii="方正小标宋简体" w:hAnsi="方正小标宋简体" w:eastAsia="方正小标宋简体"/>
          <w:color w:val="000000"/>
          <w:spacing w:val="-14"/>
          <w:sz w:val="40"/>
          <w:szCs w:val="40"/>
        </w:rPr>
        <w:t>莆田市荔城区</w:t>
      </w:r>
      <w:r>
        <w:rPr>
          <w:rFonts w:ascii="方正小标宋简体" w:hAnsi="方正小标宋简体" w:eastAsia="方正小标宋简体"/>
          <w:color w:val="000000"/>
          <w:spacing w:val="-14"/>
          <w:sz w:val="40"/>
          <w:szCs w:val="40"/>
        </w:rPr>
        <w:t>农村集体经营性建设用地入市实施办法</w:t>
      </w:r>
    </w:p>
    <w:p>
      <w:pPr>
        <w:spacing w:after="0" w:line="590" w:lineRule="exact"/>
        <w:rPr>
          <w:rFonts w:ascii="黑体" w:hAnsi="黑体" w:eastAsia="黑体"/>
          <w:color w:val="000000"/>
          <w:szCs w:val="40"/>
        </w:rPr>
      </w:pPr>
    </w:p>
    <w:p>
      <w:pPr>
        <w:spacing w:after="0" w:line="560" w:lineRule="exact"/>
        <w:jc w:val="center"/>
        <w:rPr>
          <w:rFonts w:ascii="黑体" w:hAnsi="黑体" w:eastAsia="黑体" w:cs="黑体"/>
          <w:color w:val="000000"/>
          <w:szCs w:val="32"/>
        </w:rPr>
      </w:pPr>
      <w:r>
        <w:rPr>
          <w:rFonts w:hint="eastAsia" w:ascii="黑体" w:hAnsi="黑体" w:eastAsia="黑体" w:cs="黑体"/>
          <w:color w:val="000000"/>
          <w:szCs w:val="32"/>
        </w:rPr>
        <w:t>第一章 总则</w:t>
      </w:r>
    </w:p>
    <w:p>
      <w:pPr>
        <w:spacing w:after="0" w:line="560" w:lineRule="exact"/>
        <w:ind w:firstLine="643" w:firstLineChars="200"/>
        <w:jc w:val="both"/>
        <w:rPr>
          <w:rFonts w:hint="eastAsia" w:ascii="仿宋" w:hAnsi="仿宋" w:eastAsia="仿宋" w:cs="仿宋"/>
          <w:color w:val="000000"/>
          <w:szCs w:val="32"/>
        </w:rPr>
      </w:pPr>
      <w:r>
        <w:rPr>
          <w:rFonts w:hint="eastAsia" w:ascii="楷体" w:hAnsi="楷体" w:eastAsia="楷体" w:cs="楷体"/>
          <w:b/>
          <w:bCs/>
          <w:color w:val="000000"/>
          <w:szCs w:val="32"/>
        </w:rPr>
        <w:t>第一条</w:t>
      </w:r>
      <w:r>
        <w:rPr>
          <w:rFonts w:hint="eastAsia" w:ascii="仿宋" w:hAnsi="仿宋" w:eastAsia="仿宋" w:cs="仿宋"/>
          <w:color w:val="000000"/>
          <w:szCs w:val="32"/>
        </w:rPr>
        <w:t xml:space="preserve"> 为加强农村集体经营性建设用地利用管理，健全城乡统一的建设用地市场，稳妥有序推进农村集体经营性建设用地入市试点工作，根据《中共中央办公厅  国务院办公厅印发</w:t>
      </w:r>
    </w:p>
    <w:p>
      <w:pPr>
        <w:spacing w:after="0" w:line="560" w:lineRule="exact"/>
        <w:jc w:val="both"/>
        <w:rPr>
          <w:rFonts w:ascii="仿宋" w:hAnsi="仿宋" w:eastAsia="仿宋" w:cs="仿宋"/>
          <w:color w:val="000000"/>
          <w:szCs w:val="32"/>
        </w:rPr>
      </w:pPr>
      <w:r>
        <w:rPr>
          <w:rFonts w:hint="eastAsia" w:ascii="仿宋" w:hAnsi="仿宋" w:eastAsia="仿宋" w:cs="仿宋"/>
          <w:color w:val="000000"/>
          <w:szCs w:val="32"/>
        </w:rPr>
        <w:t>&lt;关于深化农村集体经营性建设用地入市试点工作的意见&gt;的通知（厅字</w:t>
      </w:r>
      <w:r>
        <w:rPr>
          <w:rFonts w:hint="eastAsia" w:ascii="仿宋_GB2312" w:hAnsi="仿宋_GB2312" w:cs="仿宋_GB2312"/>
          <w:color w:val="000000"/>
          <w:szCs w:val="32"/>
        </w:rPr>
        <w:t>〔</w:t>
      </w:r>
      <w:r>
        <w:rPr>
          <w:rFonts w:hint="eastAsia" w:ascii="仿宋" w:hAnsi="仿宋" w:eastAsia="仿宋" w:cs="仿宋"/>
          <w:color w:val="000000"/>
          <w:szCs w:val="32"/>
        </w:rPr>
        <w:t>2022</w:t>
      </w:r>
      <w:r>
        <w:rPr>
          <w:rFonts w:hint="eastAsia" w:ascii="仿宋_GB2312" w:hAnsi="仿宋_GB2312" w:cs="仿宋_GB2312"/>
          <w:color w:val="000000"/>
          <w:szCs w:val="32"/>
        </w:rPr>
        <w:t>〕</w:t>
      </w:r>
      <w:r>
        <w:rPr>
          <w:rFonts w:hint="eastAsia" w:ascii="仿宋" w:hAnsi="仿宋" w:eastAsia="仿宋" w:cs="仿宋"/>
          <w:color w:val="000000"/>
          <w:szCs w:val="32"/>
        </w:rPr>
        <w:t>34号）》《自然资源部办公厅关于印发&lt;深化农村集体经营性建设用地入市试点工作方案&gt;的通知》（自然资办函</w:t>
      </w:r>
      <w:r>
        <w:rPr>
          <w:rFonts w:hint="eastAsia" w:ascii="仿宋_GB2312" w:hAnsi="仿宋_GB2312" w:cs="仿宋_GB2312"/>
          <w:color w:val="000000"/>
          <w:szCs w:val="32"/>
        </w:rPr>
        <w:t>〔</w:t>
      </w:r>
      <w:r>
        <w:rPr>
          <w:rFonts w:hint="eastAsia" w:ascii="仿宋" w:hAnsi="仿宋" w:eastAsia="仿宋" w:cs="仿宋"/>
          <w:color w:val="000000"/>
          <w:szCs w:val="32"/>
        </w:rPr>
        <w:t>2023</w:t>
      </w:r>
      <w:r>
        <w:rPr>
          <w:rFonts w:hint="eastAsia" w:ascii="仿宋_GB2312" w:hAnsi="仿宋_GB2312" w:cs="仿宋_GB2312"/>
          <w:color w:val="000000"/>
          <w:szCs w:val="32"/>
        </w:rPr>
        <w:t>〕</w:t>
      </w:r>
      <w:r>
        <w:rPr>
          <w:rFonts w:hint="eastAsia" w:ascii="仿宋" w:hAnsi="仿宋" w:eastAsia="仿宋" w:cs="仿宋"/>
          <w:color w:val="000000"/>
          <w:szCs w:val="32"/>
        </w:rPr>
        <w:t>364号）等文件精神，结合我区实际，制定本办法。</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第二条</w:t>
      </w:r>
      <w:r>
        <w:rPr>
          <w:rFonts w:hint="eastAsia" w:ascii="仿宋" w:hAnsi="仿宋" w:eastAsia="仿宋" w:cs="仿宋"/>
          <w:color w:val="000000"/>
          <w:szCs w:val="32"/>
        </w:rPr>
        <w:t xml:space="preserve"> 莆田市荔城区辖区范围内农村集体经营性建设用地使用权入市（包括出让、出租、作价入股等行为）、转让及房屋开发经营的管理，适用本办法。</w:t>
      </w:r>
    </w:p>
    <w:p>
      <w:pPr>
        <w:spacing w:after="0" w:line="560" w:lineRule="exact"/>
        <w:ind w:firstLine="643" w:firstLineChars="200"/>
        <w:rPr>
          <w:rFonts w:ascii="仿宋" w:hAnsi="仿宋" w:eastAsia="仿宋" w:cs="仿宋"/>
          <w:color w:val="000000"/>
          <w:szCs w:val="32"/>
        </w:rPr>
      </w:pPr>
      <w:bookmarkStart w:id="2" w:name="OLE_LINK2"/>
      <w:bookmarkStart w:id="3" w:name="OLE_LINK1"/>
      <w:r>
        <w:rPr>
          <w:rFonts w:hint="eastAsia" w:ascii="楷体" w:hAnsi="楷体" w:eastAsia="楷体" w:cs="楷体"/>
          <w:b/>
          <w:bCs/>
          <w:color w:val="000000"/>
          <w:szCs w:val="32"/>
        </w:rPr>
        <w:t>第三条</w:t>
      </w:r>
      <w:r>
        <w:rPr>
          <w:rFonts w:hint="eastAsia" w:ascii="仿宋" w:hAnsi="仿宋" w:eastAsia="仿宋" w:cs="仿宋"/>
          <w:color w:val="000000"/>
          <w:szCs w:val="32"/>
        </w:rPr>
        <w:t xml:space="preserve"> </w:t>
      </w:r>
      <w:bookmarkEnd w:id="2"/>
      <w:bookmarkEnd w:id="3"/>
      <w:r>
        <w:rPr>
          <w:rFonts w:hint="eastAsia" w:ascii="仿宋" w:hAnsi="仿宋" w:eastAsia="仿宋" w:cs="仿宋"/>
          <w:color w:val="000000"/>
          <w:szCs w:val="32"/>
        </w:rPr>
        <w:t>本实施办法所称农村集体经营性建设用地，是指存量农村集体建设用地中，经控制性详细规划或村庄规划确定为工业、商业等经营性用途的土地。</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本实施办法所称农村集体经营性建设用地入市，是指在农村集体经营性建设用地所有权不变的前提下，使用权按照依法、自愿、公平、公开的原则，以有偿方式发生转移的行为。</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中华人民共和国境内外的自然人、法人和其他组织，除法律、法规另有规定外，均可依照本规定取得农村集体经营性建设用地使用权进行开发建设。</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第四条 </w:t>
      </w:r>
      <w:r>
        <w:rPr>
          <w:rFonts w:hint="eastAsia" w:ascii="仿宋" w:hAnsi="仿宋" w:eastAsia="仿宋" w:cs="仿宋"/>
          <w:color w:val="000000"/>
          <w:szCs w:val="32"/>
        </w:rPr>
        <w:t>自然资源、住建、农业农村、城管执法、市场监管、发改、财政、民政、公安、文旅、水利、生态环境、税务等相关部门及各镇街应当在区委、区政府统一领导下，按照各自职责，协同做好农村集体经营性建设用地使用权入市管理工作：</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自然资源部门负责下达农村集体经营性建设用地规划条件，工程规划许可证审批，规划条件核实；负责农村集体经营性建设用地使用权入市指导、备案工作；加强农村集体经营性建设用地项目批后管理；对违反土地管理、规划管理法律、法规的行为进行监督检查和查处等工作。</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住建部门负责农村集体经营性建设用地项目的建筑工程施工许可证核发审批、工程质量和施工安全监管，工程竣工验收监督管理和备案工作；负责征收城市基础设施配套费；负责项目开发单位资质管理；依法开展项目消防审验、备案抽查工作；负责制定农村集体经营性建设用地项目房屋销售（商业项目、工业项目）与租赁合同范本，建立合同备案制度；负责制定项目房屋销售（商业项目、工业项目）与租赁信息公开公示制度，加强指导和规范房屋销售（商业项目、工业项目）与租赁现场信息公示；负责项目房屋销售（商业项目、工业项目）与租赁管理及相关违法违规行为的查处等工作。</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（三）农业农村部门负责制定农村集体经济组织土地收益分配指导意见，指导镇街、村居建立集体经济组织内部的分配机制，指导镇街加强农村集体经营性建设用地入市涉及村集体经济组织土地收益使用的监管。</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（四）城管执法部门依据《中华人民共和国城乡规划法》规定负责查处未取得《建设工程规划许可证》或未按照《建设工程规划许可证》内容进行建设等违法行为。</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（五）市场监管部门负责市场主体准入工商登记，根据部门职责开展监督检查。</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（六）发改部门负责农村集体经营性建设用地项目的固定资产投资立项管理，对建设工程招标范围、招标组织形式和招标方式进行核准。</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（七）财政部门负责制定</w:t>
      </w:r>
      <w:r>
        <w:rPr>
          <w:rFonts w:hint="eastAsia" w:ascii="仿宋" w:hAnsi="仿宋" w:eastAsia="仿宋" w:cs="仿宋"/>
          <w:color w:val="000000"/>
          <w:szCs w:val="32"/>
          <w:shd w:val="clear" w:color="auto" w:fill="FFFFFF"/>
        </w:rPr>
        <w:t>土地增值收益调节金征收使用管理制度</w:t>
      </w:r>
      <w:r>
        <w:rPr>
          <w:rFonts w:hint="eastAsia" w:ascii="仿宋" w:hAnsi="仿宋" w:eastAsia="仿宋" w:cs="仿宋"/>
          <w:color w:val="000000"/>
          <w:szCs w:val="32"/>
        </w:rPr>
        <w:t>，做好土地增值调节金征收工作。</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八）民政部门负责指导农村集体经济组织在农村集体经营性建设用地入市前按规定开展民主决策，形成入市决议，并对农村集体经营性建设用地开发项目涉及的地名进行审核管理，做好将入市土地用于社会福利类项目经营行为的监管工作。</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九）公安部门负责对未达到法定租赁条件违法租赁房屋（特别是“未建先租”等）等严重扰乱房地产市场秩序的非法经营行为并构成非法吸收公众存款罪或合同诈骗罪等犯罪行为的，及时立案侦查处理，参与相关部门组织的专项整治行动。</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（十）文旅部门负责农村集体经营性建设用地入市项目文物管控审查。</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（十一）水利部门负责农村集体经营性建设用地入市项目河道蓝线审查和落实水利工程管理与保护范围管控要求。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（十二）生态环境部门负责农村集体经营性建设用地入市项目环保条件审查。</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（十三）税务部门负责农村集体经营性建设用地及房屋开发经营税费征收等工作，加强对农村集体经营性建设用地及房屋开发经营的税收征管。</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（十四）各镇街负责农村集体经营性建设用地出让申请初审，项目监管协议签订，入市合同履约监管，工业项目初审，</w:t>
      </w:r>
      <w:r>
        <w:rPr>
          <w:rFonts w:hint="eastAsia" w:ascii="仿宋" w:hAnsi="仿宋" w:eastAsia="仿宋" w:cs="仿宋"/>
          <w:color w:val="000000"/>
          <w:szCs w:val="32"/>
          <w:lang w:val="en-US" w:eastAsia="zh-CN"/>
        </w:rPr>
        <w:t>村级</w:t>
      </w:r>
      <w:r>
        <w:rPr>
          <w:rFonts w:hint="eastAsia" w:ascii="仿宋" w:hAnsi="仿宋" w:eastAsia="仿宋" w:cs="仿宋"/>
          <w:color w:val="000000"/>
          <w:szCs w:val="32"/>
        </w:rPr>
        <w:t>集体经济组织诚信考核，村级监管责任主体工作考核，</w:t>
      </w:r>
      <w:bookmarkStart w:id="4" w:name="_Hlk160007571"/>
      <w:r>
        <w:rPr>
          <w:rFonts w:hint="eastAsia" w:ascii="仿宋" w:hAnsi="仿宋" w:eastAsia="仿宋" w:cs="仿宋"/>
          <w:color w:val="000000"/>
          <w:szCs w:val="32"/>
        </w:rPr>
        <w:t>配合税务部门加强</w:t>
      </w:r>
      <w:bookmarkEnd w:id="4"/>
      <w:r>
        <w:rPr>
          <w:rFonts w:hint="eastAsia" w:ascii="仿宋" w:hAnsi="仿宋" w:eastAsia="仿宋" w:cs="仿宋"/>
          <w:color w:val="000000"/>
          <w:szCs w:val="32"/>
        </w:rPr>
        <w:t>对农村集体经营性建设用地及房屋开发经营的纳税监管等工作。成立由分管领导担任组长、相关职能部门作为成员的“镇（街）监管小组”，具体负责对辖区内集体经营性建设用地项目的日常监管，包括土地的开发利用及房屋经营监管，指导农村集体经济组织落实项目主体责任，将农村集体经营性建设用地入市监管和合同履约工作纳入农村集体年度绩效考核内容。</w:t>
      </w:r>
    </w:p>
    <w:p>
      <w:pPr>
        <w:spacing w:after="0" w:line="560" w:lineRule="exact"/>
        <w:ind w:firstLine="640" w:firstLineChars="200"/>
        <w:rPr>
          <w:rFonts w:ascii="仿宋" w:hAnsi="仿宋" w:eastAsia="仿宋" w:cs="仿宋"/>
          <w:color w:val="000000"/>
          <w:szCs w:val="32"/>
        </w:rPr>
      </w:pPr>
    </w:p>
    <w:p>
      <w:pPr>
        <w:spacing w:after="0" w:line="560" w:lineRule="exact"/>
        <w:jc w:val="center"/>
        <w:rPr>
          <w:rFonts w:ascii="黑体" w:hAnsi="黑体" w:eastAsia="黑体" w:cs="黑体"/>
          <w:color w:val="000000"/>
          <w:szCs w:val="32"/>
        </w:rPr>
      </w:pPr>
      <w:r>
        <w:rPr>
          <w:rFonts w:hint="eastAsia" w:ascii="黑体" w:hAnsi="黑体" w:eastAsia="黑体" w:cs="黑体"/>
          <w:color w:val="000000"/>
          <w:szCs w:val="32"/>
        </w:rPr>
        <w:t>第二章 入市办法</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第五条</w:t>
      </w:r>
      <w:r>
        <w:rPr>
          <w:rFonts w:hint="eastAsia" w:ascii="仿宋" w:hAnsi="仿宋" w:eastAsia="仿宋" w:cs="仿宋"/>
          <w:color w:val="000000"/>
          <w:szCs w:val="32"/>
        </w:rPr>
        <w:t xml:space="preserve"> 入市宗地应满足以下条件：</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w:t>
      </w:r>
      <w:bookmarkStart w:id="5" w:name="OLE_LINK4"/>
      <w:bookmarkStart w:id="6" w:name="OLE_LINK3"/>
      <w:r>
        <w:rPr>
          <w:rFonts w:hint="eastAsia" w:ascii="仿宋" w:hAnsi="仿宋" w:eastAsia="仿宋" w:cs="仿宋"/>
          <w:color w:val="000000"/>
          <w:szCs w:val="32"/>
        </w:rPr>
        <w:t>入市宗地应是第二次全国国土调查、第三次全国国土调查及其年度变更调查成果认定的存量集体建设用地。</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（二）入市宗地应符合国土空间规划，并经控制性详细规划或村庄规划确定为工业、商业、保障性租赁住房等用途。</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（三）入市宗地应依法完成集体土地所有权与使用权登记，土地权属清晰，不存在权属争议。</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（四）入市宗地原则上应具备通水、通电、通路、土地平整等动工开发基本条件，不存在其他权利障碍，符合环保要求与产业规划。</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（五）未被司法机关查封或行政机关限制土地权利。</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（六）法律法规规定的其他条件。</w:t>
      </w:r>
    </w:p>
    <w:bookmarkEnd w:id="5"/>
    <w:bookmarkEnd w:id="6"/>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第六条</w:t>
      </w:r>
      <w:r>
        <w:rPr>
          <w:rFonts w:hint="eastAsia" w:ascii="仿宋" w:hAnsi="仿宋" w:eastAsia="仿宋" w:cs="仿宋"/>
          <w:color w:val="000000"/>
          <w:szCs w:val="32"/>
        </w:rPr>
        <w:t xml:space="preserve"> 农村集体经营性建设用地的入市主体为具备所有权身份的农民集体和依法代表行使所有权的农村集体经济组织。入市宗地所有权和使用权属于两个以上农村集体经济组织的，由各农村集体经济组织共同集体行使所有权。属于镇</w:t>
      </w:r>
      <w:r>
        <w:rPr>
          <w:rFonts w:hint="eastAsia" w:ascii="仿宋" w:hAnsi="仿宋" w:eastAsia="仿宋" w:cs="仿宋"/>
          <w:color w:val="000000"/>
          <w:szCs w:val="32"/>
          <w:lang w:eastAsia="zh-CN"/>
        </w:rPr>
        <w:t>（街）</w:t>
      </w:r>
      <w:r>
        <w:rPr>
          <w:rFonts w:hint="eastAsia" w:ascii="仿宋" w:hAnsi="仿宋" w:eastAsia="仿宋" w:cs="仿宋"/>
          <w:color w:val="000000"/>
          <w:szCs w:val="32"/>
        </w:rPr>
        <w:t>农民集体所有的，由镇</w:t>
      </w:r>
      <w:r>
        <w:rPr>
          <w:rFonts w:hint="eastAsia" w:ascii="仿宋" w:hAnsi="仿宋" w:eastAsia="仿宋" w:cs="仿宋"/>
          <w:color w:val="000000"/>
          <w:szCs w:val="32"/>
          <w:lang w:eastAsia="zh-CN"/>
        </w:rPr>
        <w:t>（街）</w:t>
      </w:r>
      <w:r>
        <w:rPr>
          <w:rFonts w:hint="eastAsia" w:ascii="仿宋" w:hAnsi="仿宋" w:eastAsia="仿宋" w:cs="仿宋"/>
          <w:color w:val="000000"/>
          <w:szCs w:val="32"/>
        </w:rPr>
        <w:t>农村集体经济组织代表集体行使所有权。</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第七条</w:t>
      </w:r>
      <w:r>
        <w:rPr>
          <w:rFonts w:hint="eastAsia" w:ascii="仿宋" w:hAnsi="仿宋" w:eastAsia="仿宋" w:cs="仿宋"/>
          <w:color w:val="000000"/>
          <w:szCs w:val="32"/>
        </w:rPr>
        <w:t xml:space="preserve"> 入市宗地应按照以下方式入市：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（一）农村集体经营性建设用地入市参照同用途国有建设用地的出让年限，采取挂牌或者协议出让的方式，在统一的交易平台公开交易。</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（二）农村集体经济组织采取长期租赁、先租后让、租让结合、弹性年期等方式供地，具体参照《自然资源部关于完善工业用地供应政策支持实体经济发展的通知》（自然资发</w:t>
      </w:r>
      <w:r>
        <w:rPr>
          <w:rFonts w:hint="eastAsia" w:ascii="仿宋_GB2312" w:hAnsi="仿宋_GB2312" w:cs="仿宋_GB2312"/>
          <w:color w:val="000000"/>
          <w:szCs w:val="32"/>
        </w:rPr>
        <w:t>〔</w:t>
      </w:r>
      <w:r>
        <w:rPr>
          <w:rFonts w:hint="eastAsia" w:ascii="仿宋" w:hAnsi="仿宋" w:eastAsia="仿宋" w:cs="仿宋"/>
          <w:color w:val="000000"/>
          <w:szCs w:val="32"/>
        </w:rPr>
        <w:t>2022</w:t>
      </w:r>
      <w:r>
        <w:rPr>
          <w:rFonts w:hint="eastAsia" w:ascii="仿宋_GB2312" w:hAnsi="仿宋_GB2312" w:cs="仿宋_GB2312"/>
          <w:color w:val="000000"/>
          <w:szCs w:val="32"/>
        </w:rPr>
        <w:t>〕</w:t>
      </w:r>
      <w:r>
        <w:rPr>
          <w:rFonts w:hint="eastAsia" w:ascii="仿宋" w:hAnsi="仿宋" w:eastAsia="仿宋" w:cs="仿宋"/>
          <w:color w:val="000000"/>
          <w:szCs w:val="32"/>
        </w:rPr>
        <w:t>201号）文件执行。</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第八条</w:t>
      </w:r>
      <w:r>
        <w:rPr>
          <w:rFonts w:hint="eastAsia" w:ascii="仿宋" w:hAnsi="仿宋" w:eastAsia="仿宋" w:cs="仿宋"/>
          <w:color w:val="000000"/>
          <w:szCs w:val="32"/>
        </w:rPr>
        <w:t xml:space="preserve"> 入市宗地应按照以下程序入市：</w:t>
      </w:r>
    </w:p>
    <w:p>
      <w:pPr>
        <w:spacing w:after="0" w:line="560" w:lineRule="exact"/>
        <w:ind w:firstLine="643" w:firstLineChars="200"/>
        <w:rPr>
          <w:rFonts w:ascii="仿宋" w:hAnsi="仿宋" w:eastAsia="仿宋" w:cs="仿宋"/>
          <w:b/>
          <w:bCs/>
          <w:color w:val="000000"/>
          <w:szCs w:val="32"/>
        </w:rPr>
      </w:pPr>
      <w:r>
        <w:rPr>
          <w:rFonts w:hint="eastAsia" w:ascii="仿宋" w:hAnsi="仿宋" w:eastAsia="仿宋" w:cs="仿宋"/>
          <w:b/>
          <w:bCs/>
          <w:color w:val="000000"/>
          <w:szCs w:val="32"/>
        </w:rPr>
        <w:t>（一）申请</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由入市宗地所属的农村集体经济组织提出入市方案，并经本集体经济组织成员的村民会议三分之二以上成员或者三分之二以上村民代表的同意，形成入市决议，并向自然资源主管部门提出书面申请并委托自然资源部门开展入市土地出让工作，申请材料有：</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（1）入市申请书（附件1）。</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（2）入市交易委托书（附件2）。</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（3）集体经营性建设用地入市决议（附件3）。</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（4）土地所有权证明材料。</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（5）其他需要提供的材料。</w:t>
      </w:r>
    </w:p>
    <w:p>
      <w:pPr>
        <w:spacing w:after="0" w:line="560" w:lineRule="exact"/>
        <w:ind w:firstLine="643" w:firstLineChars="200"/>
        <w:rPr>
          <w:rFonts w:ascii="仿宋" w:hAnsi="仿宋" w:eastAsia="仿宋" w:cs="仿宋"/>
          <w:b/>
          <w:bCs/>
          <w:color w:val="000000"/>
          <w:szCs w:val="32"/>
        </w:rPr>
      </w:pPr>
      <w:r>
        <w:rPr>
          <w:rFonts w:hint="eastAsia" w:ascii="仿宋" w:hAnsi="仿宋" w:eastAsia="仿宋" w:cs="仿宋"/>
          <w:b/>
          <w:bCs/>
          <w:color w:val="000000"/>
          <w:szCs w:val="32"/>
        </w:rPr>
        <w:t>（二）审核</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农村集体经营性建设用地入市申请经所在镇</w:t>
      </w:r>
      <w:r>
        <w:rPr>
          <w:rFonts w:hint="eastAsia" w:ascii="仿宋" w:hAnsi="仿宋" w:eastAsia="仿宋" w:cs="仿宋"/>
          <w:color w:val="000000"/>
          <w:szCs w:val="32"/>
          <w:lang w:eastAsia="zh-CN"/>
        </w:rPr>
        <w:t>（街）</w:t>
      </w:r>
      <w:r>
        <w:rPr>
          <w:rFonts w:hint="eastAsia" w:ascii="仿宋" w:hAnsi="仿宋" w:eastAsia="仿宋" w:cs="仿宋"/>
          <w:color w:val="000000"/>
          <w:szCs w:val="32"/>
        </w:rPr>
        <w:t>审核同</w:t>
      </w:r>
      <w:r>
        <w:rPr>
          <w:rFonts w:hint="eastAsia" w:ascii="仿宋" w:hAnsi="仿宋" w:eastAsia="仿宋" w:cs="仿宋"/>
          <w:color w:val="000000"/>
          <w:spacing w:val="-6"/>
          <w:szCs w:val="32"/>
        </w:rPr>
        <w:t>意后提交自然资源部门，由自然资源部门会同相关部门审核确认：</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1.发改部门负责审核产业政策要求。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2.自然资源部门负责审核规划条件，土地权属。</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3.文旅部门负责审核文物管控要求。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4.水利部门负责审核河道蓝线和水利工程管理与保护范围管控要求。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5.生态环境部门负责审核环保准入要求。</w:t>
      </w:r>
    </w:p>
    <w:p>
      <w:pPr>
        <w:spacing w:after="0" w:line="560" w:lineRule="exact"/>
        <w:ind w:firstLine="643" w:firstLineChars="200"/>
        <w:rPr>
          <w:rFonts w:ascii="仿宋" w:hAnsi="仿宋" w:eastAsia="仿宋" w:cs="仿宋"/>
          <w:b/>
          <w:bCs/>
          <w:color w:val="000000"/>
          <w:szCs w:val="32"/>
        </w:rPr>
      </w:pPr>
      <w:r>
        <w:rPr>
          <w:rFonts w:hint="eastAsia" w:ascii="仿宋" w:hAnsi="仿宋" w:eastAsia="仿宋" w:cs="仿宋"/>
          <w:b/>
          <w:bCs/>
          <w:color w:val="000000"/>
          <w:szCs w:val="32"/>
        </w:rPr>
        <w:t>（三）入市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1.经各部门审核同意后，自然资源部门对入市申请审核后，拟定入市方案报区人民政府审批。</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入市方案经区人民政府批复同意后，应在宗地所在村居、镇街公示栏、报纸、区人民政府网站等渠道公开发布信息，实行公开交易。交易结果应在宗地所在村居、镇街公示栏、区人民政府网站等渠道进行公布，接受社会和群众监督。</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3.入市宗地出让、出租交易完成后，由自然资源部门与竞得人签订《莆田市荔城区集体经营性建设用地成交确认书》（附件4）。</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4.入市交易双方应签订《集体经营性建设用地使用权出让合同》（附件5）及《莆田市荔城区集体经营性建设用地交地确认书》（附件7），报自然资源部门备案。区政府及入市地块所在镇</w:t>
      </w:r>
      <w:r>
        <w:rPr>
          <w:rFonts w:hint="eastAsia" w:ascii="仿宋" w:hAnsi="仿宋" w:eastAsia="仿宋" w:cs="仿宋"/>
          <w:color w:val="000000"/>
          <w:szCs w:val="32"/>
          <w:lang w:eastAsia="zh-CN"/>
        </w:rPr>
        <w:t>（街）</w:t>
      </w:r>
      <w:r>
        <w:rPr>
          <w:rFonts w:hint="eastAsia" w:ascii="仿宋" w:hAnsi="仿宋" w:eastAsia="仿宋" w:cs="仿宋"/>
          <w:color w:val="000000"/>
          <w:szCs w:val="32"/>
        </w:rPr>
        <w:t>应与交易双方签订《集体经营性建设用地使用权出让监管协议》（附件6）。</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5.入市交易双方应按相关规定履行纳税义务。入市主体还应向财政部门缴纳土地增值收益调节金。竞得人应缴纳城市基础设施配套费，收费标准参照《莆田市城市基础设施配套费征收管理规定》执行。</w:t>
      </w:r>
    </w:p>
    <w:p>
      <w:pPr>
        <w:spacing w:after="0" w:line="560" w:lineRule="exact"/>
        <w:ind w:firstLine="643" w:firstLineChars="200"/>
        <w:rPr>
          <w:rFonts w:ascii="仿宋" w:hAnsi="仿宋" w:eastAsia="仿宋" w:cs="仿宋"/>
          <w:b/>
          <w:bCs/>
          <w:color w:val="000000"/>
          <w:szCs w:val="32"/>
        </w:rPr>
      </w:pPr>
      <w:r>
        <w:rPr>
          <w:rFonts w:hint="eastAsia" w:ascii="仿宋" w:hAnsi="仿宋" w:eastAsia="仿宋" w:cs="仿宋"/>
          <w:b/>
          <w:bCs/>
          <w:color w:val="000000"/>
          <w:szCs w:val="32"/>
        </w:rPr>
        <w:t>（四）登记发证</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农村集体经营性建设用地入市交易完成后，应办理不动产登记。办理时应向不动产登记部门提交如下资料：</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1.不动产登记申请书。</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2.申请人身份证明材料。</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3.《集体经营性建设用地使用权出让合同》</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4.《莆田市荔城区集体经营性建设用地交地确认书》</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5.《集体经营性建设用地使用权出让监管协议》</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6.出让金、土地增值收益调节金和税收缴纳证明。</w:t>
      </w:r>
    </w:p>
    <w:p>
      <w:pPr>
        <w:spacing w:after="0" w:line="560" w:lineRule="exact"/>
        <w:ind w:firstLine="640" w:firstLineChars="200"/>
        <w:rPr>
          <w:rFonts w:hint="eastAsia" w:ascii="仿宋" w:hAnsi="仿宋" w:eastAsia="仿宋" w:cs="仿宋"/>
          <w:color w:val="000000"/>
          <w:szCs w:val="32"/>
        </w:rPr>
      </w:pPr>
      <w:r>
        <w:rPr>
          <w:rFonts w:hint="eastAsia" w:ascii="仿宋" w:hAnsi="仿宋" w:eastAsia="仿宋" w:cs="仿宋"/>
          <w:color w:val="000000"/>
          <w:szCs w:val="32"/>
        </w:rPr>
        <w:t>7.其他需要提供的资料。</w:t>
      </w:r>
    </w:p>
    <w:p>
      <w:pPr>
        <w:spacing w:after="0" w:line="560" w:lineRule="exact"/>
        <w:jc w:val="both"/>
        <w:rPr>
          <w:rFonts w:hint="eastAsia" w:ascii="黑体" w:hAnsi="黑体" w:eastAsia="黑体" w:cs="黑体"/>
          <w:color w:val="000000"/>
          <w:szCs w:val="32"/>
        </w:rPr>
      </w:pPr>
    </w:p>
    <w:p>
      <w:pPr>
        <w:spacing w:after="0" w:line="560" w:lineRule="exact"/>
        <w:jc w:val="center"/>
        <w:rPr>
          <w:rFonts w:ascii="黑体" w:hAnsi="黑体" w:eastAsia="黑体" w:cs="黑体"/>
          <w:color w:val="000000"/>
          <w:szCs w:val="32"/>
        </w:rPr>
      </w:pPr>
      <w:r>
        <w:rPr>
          <w:rFonts w:hint="eastAsia" w:ascii="黑体" w:hAnsi="黑体" w:eastAsia="黑体" w:cs="黑体"/>
          <w:color w:val="000000"/>
          <w:szCs w:val="32"/>
        </w:rPr>
        <w:t>第三章 收益分配及管理</w:t>
      </w:r>
    </w:p>
    <w:p>
      <w:pPr>
        <w:widowControl w:val="0"/>
        <w:wordWrap/>
        <w:adjustRightInd/>
        <w:snapToGrid/>
        <w:spacing w:before="0" w:after="0" w:line="600" w:lineRule="exact"/>
        <w:ind w:left="0" w:leftChars="0" w:right="0" w:firstLine="640"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第九条</w:t>
      </w:r>
      <w:r>
        <w:rPr>
          <w:rFonts w:hint="eastAsia" w:ascii="仿宋" w:hAnsi="仿宋" w:eastAsia="仿宋" w:cs="仿宋"/>
          <w:color w:val="000000"/>
          <w:szCs w:val="32"/>
        </w:rPr>
        <w:t xml:space="preserve"> 农村集体经营性建设用地</w:t>
      </w:r>
      <w:bookmarkStart w:id="7" w:name="_Hlk159929710"/>
      <w:r>
        <w:rPr>
          <w:rFonts w:hint="eastAsia" w:ascii="仿宋" w:hAnsi="仿宋" w:eastAsia="仿宋" w:cs="仿宋"/>
          <w:color w:val="000000"/>
          <w:szCs w:val="32"/>
        </w:rPr>
        <w:t>土地增值收益</w:t>
      </w:r>
      <w:bookmarkEnd w:id="7"/>
      <w:r>
        <w:rPr>
          <w:rFonts w:hint="eastAsia" w:ascii="仿宋" w:hAnsi="仿宋" w:eastAsia="仿宋" w:cs="仿宋"/>
          <w:color w:val="000000"/>
          <w:szCs w:val="32"/>
        </w:rPr>
        <w:t>，是指农村集体经营性建设用地入市环节入市收入，以及再转让环节的再转让收入扣除取得成本和土地开发支出后的净收益。土地增值收益调节金，是指在农村集体经营性建设用地入市、再转让或其他视同转让等方式取得再转让收益时，对土地增值收益收取的资金。</w:t>
      </w:r>
    </w:p>
    <w:p>
      <w:pPr>
        <w:widowControl w:val="0"/>
        <w:wordWrap/>
        <w:adjustRightInd/>
        <w:snapToGrid/>
        <w:spacing w:before="0" w:after="0" w:line="600" w:lineRule="exact"/>
        <w:ind w:left="0" w:leftChars="0" w:right="0" w:firstLine="640"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第十条</w:t>
      </w:r>
      <w:r>
        <w:rPr>
          <w:rFonts w:hint="eastAsia" w:ascii="仿宋" w:hAnsi="仿宋" w:eastAsia="仿宋" w:cs="仿宋"/>
          <w:color w:val="000000"/>
          <w:szCs w:val="32"/>
        </w:rPr>
        <w:t xml:space="preserve"> 农村集体经营性建设用地使用权的土地增值收益调节金由区财政局会同区自然资源局征收。区自然资源局根据合同和交易信息，核定调节金应交金额，开具非税收入缴款通知书，调节金直接纳入地方财政国库。</w:t>
      </w:r>
    </w:p>
    <w:p>
      <w:pPr>
        <w:widowControl w:val="0"/>
        <w:wordWrap/>
        <w:adjustRightInd/>
        <w:snapToGrid/>
        <w:spacing w:before="0" w:after="0" w:line="60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农村集体经营性建设用地以出让、出租方式入市取得收益时，出让(出租)方应按成交总价款区分不同用途按比例缴纳土地增值收益调节金。工业用地和其他类型用地按20%比例缴纳,商业用地按30%比例缴纳。</w:t>
      </w:r>
    </w:p>
    <w:p>
      <w:pPr>
        <w:widowControl w:val="0"/>
        <w:wordWrap/>
        <w:adjustRightInd/>
        <w:snapToGrid/>
        <w:spacing w:before="0" w:after="0" w:line="600" w:lineRule="exact"/>
        <w:ind w:left="0" w:leftChars="0" w:right="0" w:firstLine="640" w:firstLineChars="200"/>
        <w:jc w:val="both"/>
        <w:textAlignment w:val="auto"/>
        <w:outlineLvl w:val="9"/>
        <w:rPr>
          <w:rFonts w:ascii="仿宋" w:hAnsi="仿宋" w:eastAsia="仿宋" w:cs="仿宋"/>
          <w:strike/>
          <w:color w:val="000000"/>
          <w:szCs w:val="32"/>
        </w:rPr>
      </w:pPr>
      <w:r>
        <w:rPr>
          <w:rFonts w:hint="eastAsia" w:ascii="楷体" w:hAnsi="楷体" w:eastAsia="楷体" w:cs="楷体"/>
          <w:b/>
          <w:bCs/>
          <w:color w:val="000000"/>
          <w:szCs w:val="32"/>
        </w:rPr>
        <w:t>第十一条</w:t>
      </w:r>
      <w:r>
        <w:rPr>
          <w:rFonts w:hint="eastAsia" w:ascii="仿宋" w:hAnsi="仿宋" w:eastAsia="仿宋" w:cs="仿宋"/>
          <w:color w:val="000000"/>
          <w:szCs w:val="32"/>
        </w:rPr>
        <w:t xml:space="preserve"> 土地增值收益调节金由区、镇街按照比例7:3进行分配。土地增值收益调节金主要统筹用于城镇和农村基础设施完善、农村环境整治、土地前期开发等支出。</w:t>
      </w:r>
    </w:p>
    <w:p>
      <w:pPr>
        <w:widowControl w:val="0"/>
        <w:wordWrap/>
        <w:adjustRightInd/>
        <w:snapToGrid/>
        <w:spacing w:before="0" w:after="0" w:line="600" w:lineRule="exact"/>
        <w:ind w:left="0" w:leftChars="0" w:right="0" w:firstLine="640"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第十二条</w:t>
      </w:r>
      <w:r>
        <w:rPr>
          <w:rFonts w:hint="eastAsia" w:ascii="仿宋" w:hAnsi="仿宋" w:eastAsia="仿宋" w:cs="仿宋"/>
          <w:color w:val="000000"/>
          <w:szCs w:val="32"/>
        </w:rPr>
        <w:t xml:space="preserve"> 农村集体经济组织取得的入市收益应纳入农村集体资产统一管理，分配和使用情况纳入村务公开内容，接受政府相关部门和公众监督。</w:t>
      </w:r>
    </w:p>
    <w:p>
      <w:pPr>
        <w:spacing w:after="0" w:line="560" w:lineRule="exact"/>
        <w:jc w:val="center"/>
        <w:rPr>
          <w:rFonts w:hint="eastAsia" w:ascii="黑体" w:hAnsi="黑体" w:eastAsia="黑体" w:cs="黑体"/>
          <w:color w:val="000000"/>
          <w:szCs w:val="32"/>
        </w:rPr>
      </w:pPr>
      <w:r>
        <w:rPr>
          <w:rFonts w:hint="eastAsia" w:ascii="黑体" w:hAnsi="黑体" w:eastAsia="黑体" w:cs="黑体"/>
          <w:color w:val="000000"/>
          <w:szCs w:val="32"/>
        </w:rPr>
        <w:t>第四章 权益保障和</w:t>
      </w:r>
      <w:bookmarkStart w:id="8" w:name="_Hlk159930594"/>
      <w:r>
        <w:rPr>
          <w:rFonts w:hint="eastAsia" w:ascii="黑体" w:hAnsi="黑体" w:eastAsia="黑体" w:cs="黑体"/>
          <w:color w:val="000000"/>
          <w:szCs w:val="32"/>
        </w:rPr>
        <w:t>监督</w:t>
      </w:r>
      <w:bookmarkEnd w:id="8"/>
      <w:r>
        <w:rPr>
          <w:rFonts w:hint="eastAsia" w:ascii="黑体" w:hAnsi="黑体" w:eastAsia="黑体" w:cs="黑体"/>
          <w:color w:val="000000"/>
          <w:szCs w:val="32"/>
        </w:rPr>
        <w:t>管理</w:t>
      </w:r>
    </w:p>
    <w:p>
      <w:pPr>
        <w:widowControl w:val="0"/>
        <w:wordWrap/>
        <w:adjustRightInd/>
        <w:snapToGrid/>
        <w:spacing w:before="0" w:after="0" w:line="58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第十三条</w:t>
      </w:r>
      <w:r>
        <w:rPr>
          <w:rFonts w:hint="eastAsia" w:ascii="仿宋" w:hAnsi="仿宋" w:eastAsia="仿宋" w:cs="仿宋"/>
          <w:color w:val="000000"/>
          <w:szCs w:val="32"/>
        </w:rPr>
        <w:t xml:space="preserve"> 入市主体应依据莆田市人民政府发布的集体建设用地基准地价，并经有资质的评估机构评估，经集体决策确定入市地价，入市地价不得低于基准地价。同时，对协议出让价或挂牌出让的起拍价、加价幅度、竞买保证金以及保留价，也应实行集体决策。出让价或转让价低于基准地价的，区人民政府或其指定的国有企业有优先购买权。</w:t>
      </w:r>
    </w:p>
    <w:p>
      <w:pPr>
        <w:widowControl w:val="0"/>
        <w:wordWrap/>
        <w:adjustRightInd/>
        <w:snapToGrid/>
        <w:spacing w:before="0" w:after="0" w:line="58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第十四条</w:t>
      </w:r>
      <w:r>
        <w:rPr>
          <w:rFonts w:hint="eastAsia" w:ascii="仿宋" w:hAnsi="仿宋" w:eastAsia="仿宋" w:cs="仿宋"/>
          <w:color w:val="000000"/>
          <w:szCs w:val="32"/>
        </w:rPr>
        <w:t xml:space="preserve"> 通过出让等方式取得的农村集体经营性建设用地使用权在出让期限内可以转让或抵押，但法律、行政法规另有规定或者土地所有权人、土地使用权人签订的书面合同另有约定的除外。</w:t>
      </w:r>
    </w:p>
    <w:p>
      <w:pPr>
        <w:widowControl w:val="0"/>
        <w:wordWrap/>
        <w:adjustRightInd/>
        <w:snapToGrid/>
        <w:spacing w:before="0" w:after="0" w:line="58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第十五条</w:t>
      </w:r>
      <w:r>
        <w:rPr>
          <w:rFonts w:hint="eastAsia" w:ascii="仿宋" w:hAnsi="仿宋" w:eastAsia="仿宋" w:cs="仿宋"/>
          <w:color w:val="000000"/>
          <w:szCs w:val="32"/>
        </w:rPr>
        <w:t xml:space="preserve"> 政府依法对已出让的农村集体经营性建设用地实施征收的，经区人民政府批准后，宗地所有权人可提前收回土地使用权，但应对相关权利人依法予以补偿,补偿标准可参照收回国有建设用地的补偿标准或经双方协商一致执行，但不得高于该宗地的有资质第三方估价。</w:t>
      </w:r>
    </w:p>
    <w:p>
      <w:pPr>
        <w:widowControl w:val="0"/>
        <w:wordWrap/>
        <w:adjustRightInd/>
        <w:snapToGrid/>
        <w:spacing w:before="0" w:after="0" w:line="58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第十六条</w:t>
      </w:r>
      <w:r>
        <w:rPr>
          <w:rFonts w:hint="eastAsia" w:ascii="仿宋" w:hAnsi="仿宋" w:eastAsia="仿宋" w:cs="仿宋"/>
          <w:color w:val="000000"/>
          <w:szCs w:val="32"/>
        </w:rPr>
        <w:t xml:space="preserve"> 宗地入市后，改变土地用途的，应符合宗地规划条件，经所有权人和区人民政府同意，重新签订合同，办理变更手续。产生土地增值收益的，应按规定缴纳土地增值收益调节金。</w:t>
      </w:r>
    </w:p>
    <w:p>
      <w:pPr>
        <w:widowControl w:val="0"/>
        <w:wordWrap/>
        <w:adjustRightInd/>
        <w:snapToGrid/>
        <w:spacing w:before="0" w:after="0" w:line="58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第十七条</w:t>
      </w:r>
      <w:r>
        <w:rPr>
          <w:rFonts w:hint="eastAsia" w:ascii="仿宋" w:hAnsi="仿宋" w:eastAsia="仿宋" w:cs="仿宋"/>
          <w:color w:val="000000"/>
          <w:szCs w:val="32"/>
        </w:rPr>
        <w:t xml:space="preserve"> 自然资源部门应根据控制性详细规划或村庄规划出具规划条件，有关建筑退让要求按《福建省城市规划管理技术规定》执行。村庄规划区的入市宗地，应编制地块图则，作为出具规划条件的依据。</w:t>
      </w:r>
    </w:p>
    <w:p>
      <w:pPr>
        <w:widowControl w:val="0"/>
        <w:wordWrap/>
        <w:adjustRightInd/>
        <w:snapToGrid/>
        <w:spacing w:before="0" w:after="0" w:line="580" w:lineRule="exact"/>
        <w:ind w:left="0" w:leftChars="0" w:right="0" w:firstLine="643"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第十八条</w:t>
      </w:r>
      <w:r>
        <w:rPr>
          <w:rFonts w:hint="eastAsia" w:ascii="仿宋" w:hAnsi="仿宋" w:eastAsia="仿宋" w:cs="仿宋"/>
          <w:color w:val="000000"/>
          <w:szCs w:val="32"/>
        </w:rPr>
        <w:t xml:space="preserve"> 附则</w:t>
      </w:r>
    </w:p>
    <w:p>
      <w:pPr>
        <w:widowControl w:val="0"/>
        <w:wordWrap/>
        <w:adjustRightInd/>
        <w:snapToGrid/>
        <w:spacing w:before="0" w:after="0" w:line="58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（一）本实施办法由自然资源部门负责解释。</w:t>
      </w:r>
    </w:p>
    <w:p>
      <w:pPr>
        <w:widowControl w:val="0"/>
        <w:wordWrap/>
        <w:adjustRightInd/>
        <w:snapToGrid/>
        <w:spacing w:before="0" w:after="0" w:line="58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（二）本文件自</w:t>
      </w:r>
      <w:r>
        <w:rPr>
          <w:rFonts w:hint="eastAsia" w:ascii="仿宋" w:hAnsi="仿宋" w:eastAsia="仿宋" w:cs="仿宋"/>
          <w:color w:val="000000"/>
          <w:szCs w:val="32"/>
          <w:lang w:eastAsia="zh-CN"/>
        </w:rPr>
        <w:t>印发之</w:t>
      </w:r>
      <w:bookmarkStart w:id="24" w:name="_GoBack"/>
      <w:bookmarkEnd w:id="24"/>
      <w:r>
        <w:rPr>
          <w:rFonts w:hint="eastAsia" w:ascii="仿宋" w:hAnsi="仿宋" w:eastAsia="仿宋" w:cs="仿宋"/>
          <w:color w:val="000000"/>
          <w:szCs w:val="32"/>
        </w:rPr>
        <w:t>日起施行，有效期至2024年12月31日止。</w:t>
      </w:r>
    </w:p>
    <w:p>
      <w:pPr>
        <w:widowControl w:val="0"/>
        <w:wordWrap/>
        <w:adjustRightInd/>
        <w:snapToGrid/>
        <w:spacing w:before="0" w:after="0" w:line="580" w:lineRule="exact"/>
        <w:ind w:left="0" w:leftChars="0" w:right="0" w:firstLine="640" w:firstLineChars="200"/>
        <w:jc w:val="both"/>
        <w:textAlignment w:val="auto"/>
        <w:outlineLvl w:val="9"/>
        <w:rPr>
          <w:rFonts w:ascii="仿宋" w:hAnsi="仿宋" w:eastAsia="仿宋" w:cs="仿宋"/>
          <w:color w:val="000000"/>
          <w:szCs w:val="32"/>
        </w:rPr>
      </w:pPr>
    </w:p>
    <w:p>
      <w:pPr>
        <w:widowControl w:val="0"/>
        <w:wordWrap/>
        <w:adjustRightInd/>
        <w:snapToGrid/>
        <w:spacing w:before="0" w:after="0" w:line="58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附件：1.莆田市荔城区集体经营性建设用地入市申请书</w:t>
      </w:r>
    </w:p>
    <w:p>
      <w:pPr>
        <w:widowControl w:val="0"/>
        <w:wordWrap/>
        <w:adjustRightInd/>
        <w:snapToGrid/>
        <w:spacing w:before="0" w:after="0" w:line="580" w:lineRule="exact"/>
        <w:ind w:left="0" w:leftChars="0" w:right="0" w:firstLine="1478" w:firstLineChars="462"/>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 xml:space="preserve"> 2.莆田市荔城区集体经营性建设用地入市委托书</w:t>
      </w:r>
    </w:p>
    <w:p>
      <w:pPr>
        <w:widowControl w:val="0"/>
        <w:wordWrap/>
        <w:adjustRightInd/>
        <w:snapToGrid/>
        <w:spacing w:before="0" w:after="0" w:line="580" w:lineRule="exact"/>
        <w:ind w:left="0" w:leftChars="0" w:right="0" w:firstLine="1478" w:firstLineChars="462"/>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 xml:space="preserve"> 3.莆田市荔城区集体经营性建设用地入市决议书</w:t>
      </w:r>
    </w:p>
    <w:p>
      <w:pPr>
        <w:widowControl w:val="0"/>
        <w:wordWrap/>
        <w:adjustRightInd/>
        <w:snapToGrid/>
        <w:spacing w:before="0" w:after="0" w:line="580" w:lineRule="exact"/>
        <w:ind w:left="0" w:leftChars="0" w:right="0" w:firstLine="1478" w:firstLineChars="462"/>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 xml:space="preserve"> 4.莆田市荔城区集体经营性建设用地成交确认书</w:t>
      </w:r>
    </w:p>
    <w:p>
      <w:pPr>
        <w:widowControl w:val="0"/>
        <w:wordWrap/>
        <w:adjustRightInd/>
        <w:snapToGrid/>
        <w:spacing w:before="0" w:after="0" w:line="580" w:lineRule="exact"/>
        <w:ind w:left="0" w:leftChars="0" w:right="0" w:firstLine="1478" w:firstLineChars="462"/>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 xml:space="preserve"> 5.集体经营性建设用地使用权出让合同</w:t>
      </w:r>
    </w:p>
    <w:p>
      <w:pPr>
        <w:widowControl w:val="0"/>
        <w:wordWrap/>
        <w:adjustRightInd/>
        <w:snapToGrid/>
        <w:spacing w:before="0" w:after="0" w:line="580" w:lineRule="exact"/>
        <w:ind w:left="0" w:leftChars="0" w:right="0" w:firstLine="1478" w:firstLineChars="462"/>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 xml:space="preserve"> 6.莆田市荔城区集体经营性建设用地交地确认书</w:t>
      </w:r>
    </w:p>
    <w:p>
      <w:pPr>
        <w:widowControl w:val="0"/>
        <w:wordWrap/>
        <w:adjustRightInd/>
        <w:snapToGrid/>
        <w:spacing w:before="0" w:after="0" w:line="580" w:lineRule="exact"/>
        <w:ind w:left="0" w:leftChars="0" w:right="0" w:firstLine="1478" w:firstLineChars="462"/>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 xml:space="preserve"> 7.集体经营性建设用地使用权出让监管协议</w:t>
      </w:r>
    </w:p>
    <w:p>
      <w:pPr>
        <w:widowControl w:val="0"/>
        <w:wordWrap/>
        <w:adjustRightInd/>
        <w:snapToGrid/>
        <w:spacing w:before="0" w:after="0" w:line="580" w:lineRule="exact"/>
        <w:ind w:left="0" w:leftChars="0" w:right="0"/>
        <w:jc w:val="both"/>
        <w:textAlignment w:val="auto"/>
        <w:outlineLvl w:val="9"/>
        <w:rPr>
          <w:rFonts w:ascii="仿宋" w:hAnsi="仿宋" w:eastAsia="仿宋" w:cs="仿宋"/>
          <w:b/>
          <w:bCs/>
          <w:color w:val="000000"/>
          <w:szCs w:val="32"/>
        </w:rPr>
      </w:pPr>
      <w:r>
        <w:rPr>
          <w:rFonts w:hint="eastAsia" w:ascii="仿宋" w:hAnsi="仿宋" w:eastAsia="仿宋" w:cs="仿宋"/>
          <w:color w:val="000000"/>
          <w:szCs w:val="32"/>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1</w:t>
      </w:r>
    </w:p>
    <w:p>
      <w:pPr>
        <w:spacing w:after="0"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莆田市荔城区农村集体经营性建设用地使用权</w:t>
      </w:r>
    </w:p>
    <w:p>
      <w:pPr>
        <w:spacing w:after="0"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入市申请表</w:t>
      </w:r>
    </w:p>
    <w:tbl>
      <w:tblPr>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442"/>
        <w:gridCol w:w="819"/>
        <w:gridCol w:w="109"/>
        <w:gridCol w:w="1936"/>
        <w:gridCol w:w="2296"/>
        <w:gridCol w:w="2091"/>
        <w:gridCol w:w="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exact"/>
        </w:trPr>
        <w:tc>
          <w:tcPr>
            <w:tcW w:w="2628" w:type="dxa"/>
            <w:gridSpan w:val="3"/>
            <w:vAlign w:val="center"/>
          </w:tcPr>
          <w:p>
            <w:pPr>
              <w:jc w:val="center"/>
              <w:rPr>
                <w:rFonts w:ascii="仿宋" w:hAnsi="仿宋" w:eastAsia="仿宋" w:cs="仿宋"/>
                <w:color w:val="000000"/>
                <w:szCs w:val="32"/>
              </w:rPr>
            </w:pPr>
            <w:r>
              <w:rPr>
                <w:rFonts w:hint="eastAsia" w:ascii="仿宋" w:hAnsi="仿宋" w:eastAsia="仿宋" w:cs="仿宋"/>
                <w:color w:val="000000"/>
                <w:szCs w:val="32"/>
              </w:rPr>
              <w:t>申请单位</w:t>
            </w:r>
          </w:p>
        </w:tc>
        <w:tc>
          <w:tcPr>
            <w:tcW w:w="6480" w:type="dxa"/>
            <w:gridSpan w:val="5"/>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628" w:type="dxa"/>
            <w:gridSpan w:val="3"/>
            <w:vAlign w:val="center"/>
          </w:tcPr>
          <w:p>
            <w:pPr>
              <w:jc w:val="center"/>
              <w:rPr>
                <w:rFonts w:ascii="仿宋" w:hAnsi="仿宋" w:eastAsia="仿宋" w:cs="仿宋"/>
                <w:color w:val="000000"/>
                <w:szCs w:val="32"/>
              </w:rPr>
            </w:pPr>
            <w:r>
              <w:rPr>
                <w:rFonts w:hint="eastAsia" w:ascii="仿宋" w:hAnsi="仿宋" w:eastAsia="仿宋" w:cs="仿宋"/>
                <w:color w:val="000000"/>
                <w:szCs w:val="32"/>
              </w:rPr>
              <w:t>申请时间</w:t>
            </w:r>
          </w:p>
        </w:tc>
        <w:tc>
          <w:tcPr>
            <w:tcW w:w="6480" w:type="dxa"/>
            <w:gridSpan w:val="5"/>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restart"/>
            <w:vAlign w:val="center"/>
          </w:tcPr>
          <w:p>
            <w:pPr>
              <w:jc w:val="center"/>
              <w:rPr>
                <w:rFonts w:ascii="仿宋" w:hAnsi="仿宋" w:eastAsia="仿宋" w:cs="仿宋"/>
                <w:color w:val="000000"/>
                <w:szCs w:val="32"/>
              </w:rPr>
            </w:pPr>
            <w:r>
              <w:rPr>
                <w:rFonts w:hint="eastAsia" w:ascii="仿宋" w:hAnsi="仿宋" w:eastAsia="仿宋" w:cs="仿宋"/>
                <w:color w:val="000000"/>
                <w:szCs w:val="32"/>
              </w:rPr>
              <w:t>入市</w:t>
            </w:r>
          </w:p>
          <w:p>
            <w:pPr>
              <w:jc w:val="center"/>
              <w:rPr>
                <w:rFonts w:ascii="仿宋" w:hAnsi="仿宋" w:eastAsia="仿宋" w:cs="仿宋"/>
                <w:color w:val="000000"/>
                <w:szCs w:val="32"/>
              </w:rPr>
            </w:pPr>
            <w:r>
              <w:rPr>
                <w:rFonts w:hint="eastAsia" w:ascii="仿宋" w:hAnsi="仿宋" w:eastAsia="仿宋" w:cs="仿宋"/>
                <w:color w:val="000000"/>
                <w:szCs w:val="32"/>
              </w:rPr>
              <w:t>土地</w:t>
            </w:r>
          </w:p>
          <w:p>
            <w:pPr>
              <w:jc w:val="center"/>
              <w:rPr>
                <w:rFonts w:ascii="仿宋" w:hAnsi="仿宋" w:eastAsia="仿宋" w:cs="仿宋"/>
                <w:color w:val="000000"/>
                <w:szCs w:val="32"/>
              </w:rPr>
            </w:pPr>
            <w:r>
              <w:rPr>
                <w:rFonts w:hint="eastAsia" w:ascii="仿宋" w:hAnsi="仿宋" w:eastAsia="仿宋" w:cs="仿宋"/>
                <w:color w:val="000000"/>
                <w:szCs w:val="32"/>
              </w:rPr>
              <w:t>基本</w:t>
            </w:r>
          </w:p>
          <w:p>
            <w:pPr>
              <w:jc w:val="center"/>
              <w:rPr>
                <w:rFonts w:ascii="仿宋" w:hAnsi="仿宋" w:eastAsia="仿宋" w:cs="仿宋"/>
                <w:color w:val="000000"/>
                <w:szCs w:val="32"/>
              </w:rPr>
            </w:pPr>
            <w:r>
              <w:rPr>
                <w:rFonts w:hint="eastAsia" w:ascii="仿宋" w:hAnsi="仿宋" w:eastAsia="仿宋" w:cs="仿宋"/>
                <w:color w:val="000000"/>
                <w:szCs w:val="32"/>
              </w:rPr>
              <w:t>情况</w:t>
            </w: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土地所有权人</w:t>
            </w:r>
          </w:p>
        </w:tc>
        <w:tc>
          <w:tcPr>
            <w:tcW w:w="4435" w:type="dxa"/>
            <w:gridSpan w:val="3"/>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集体土地所有权证书</w:t>
            </w:r>
          </w:p>
        </w:tc>
        <w:tc>
          <w:tcPr>
            <w:tcW w:w="4435" w:type="dxa"/>
            <w:gridSpan w:val="3"/>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集体土地使用权证书</w:t>
            </w:r>
          </w:p>
        </w:tc>
        <w:tc>
          <w:tcPr>
            <w:tcW w:w="4435" w:type="dxa"/>
            <w:gridSpan w:val="3"/>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土地面积（亩）</w:t>
            </w:r>
          </w:p>
        </w:tc>
        <w:tc>
          <w:tcPr>
            <w:tcW w:w="4435" w:type="dxa"/>
            <w:gridSpan w:val="3"/>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Merge w:val="restart"/>
            <w:vAlign w:val="center"/>
          </w:tcPr>
          <w:p>
            <w:pPr>
              <w:jc w:val="center"/>
              <w:rPr>
                <w:rFonts w:ascii="仿宋" w:hAnsi="仿宋" w:eastAsia="仿宋" w:cs="仿宋"/>
                <w:color w:val="000000"/>
                <w:szCs w:val="32"/>
              </w:rPr>
            </w:pPr>
            <w:r>
              <w:rPr>
                <w:rFonts w:hint="eastAsia" w:ascii="仿宋" w:hAnsi="仿宋" w:eastAsia="仿宋" w:cs="仿宋"/>
                <w:color w:val="000000"/>
                <w:szCs w:val="32"/>
              </w:rPr>
              <w:t>土地位置</w:t>
            </w:r>
          </w:p>
        </w:tc>
        <w:tc>
          <w:tcPr>
            <w:tcW w:w="4435" w:type="dxa"/>
            <w:gridSpan w:val="3"/>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continue"/>
            <w:vAlign w:val="center"/>
          </w:tcPr>
          <w:p>
            <w:pPr>
              <w:rPr>
                <w:rFonts w:ascii="仿宋" w:hAnsi="仿宋" w:eastAsia="仿宋" w:cs="仿宋"/>
                <w:color w:val="000000"/>
                <w:szCs w:val="32"/>
              </w:rPr>
            </w:pPr>
          </w:p>
        </w:tc>
        <w:tc>
          <w:tcPr>
            <w:tcW w:w="3306" w:type="dxa"/>
            <w:gridSpan w:val="4"/>
            <w:vMerge w:val="continue"/>
            <w:vAlign w:val="center"/>
          </w:tcPr>
          <w:p>
            <w:pPr>
              <w:jc w:val="center"/>
              <w:rPr>
                <w:rFonts w:ascii="仿宋" w:hAnsi="仿宋" w:eastAsia="仿宋" w:cs="仿宋"/>
                <w:color w:val="000000"/>
                <w:szCs w:val="32"/>
              </w:rPr>
            </w:pPr>
          </w:p>
        </w:tc>
        <w:tc>
          <w:tcPr>
            <w:tcW w:w="2296" w:type="dxa"/>
            <w:vAlign w:val="center"/>
          </w:tcPr>
          <w:p>
            <w:pPr>
              <w:rPr>
                <w:rFonts w:ascii="仿宋" w:hAnsi="仿宋" w:eastAsia="仿宋" w:cs="仿宋"/>
                <w:color w:val="000000"/>
                <w:szCs w:val="32"/>
              </w:rPr>
            </w:pPr>
            <w:r>
              <w:rPr>
                <w:rFonts w:hint="eastAsia" w:ascii="仿宋" w:hAnsi="仿宋" w:eastAsia="仿宋" w:cs="仿宋"/>
                <w:color w:val="000000"/>
                <w:szCs w:val="32"/>
              </w:rPr>
              <w:t>东：</w:t>
            </w:r>
          </w:p>
        </w:tc>
        <w:tc>
          <w:tcPr>
            <w:tcW w:w="2139" w:type="dxa"/>
            <w:gridSpan w:val="2"/>
            <w:vAlign w:val="center"/>
          </w:tcPr>
          <w:p>
            <w:pPr>
              <w:rPr>
                <w:rFonts w:ascii="仿宋" w:hAnsi="仿宋" w:eastAsia="仿宋" w:cs="仿宋"/>
                <w:color w:val="000000"/>
                <w:szCs w:val="32"/>
              </w:rPr>
            </w:pPr>
            <w:r>
              <w:rPr>
                <w:rFonts w:hint="eastAsia" w:ascii="仿宋" w:hAnsi="仿宋" w:eastAsia="仿宋" w:cs="仿宋"/>
                <w:color w:val="000000"/>
                <w:szCs w:val="32"/>
              </w:rPr>
              <w:t>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continue"/>
            <w:vAlign w:val="center"/>
          </w:tcPr>
          <w:p>
            <w:pPr>
              <w:rPr>
                <w:rFonts w:ascii="仿宋" w:hAnsi="仿宋" w:eastAsia="仿宋" w:cs="仿宋"/>
                <w:color w:val="000000"/>
                <w:szCs w:val="32"/>
              </w:rPr>
            </w:pPr>
          </w:p>
        </w:tc>
        <w:tc>
          <w:tcPr>
            <w:tcW w:w="3306" w:type="dxa"/>
            <w:gridSpan w:val="4"/>
            <w:vMerge w:val="continue"/>
            <w:vAlign w:val="center"/>
          </w:tcPr>
          <w:p>
            <w:pPr>
              <w:jc w:val="center"/>
              <w:rPr>
                <w:rFonts w:ascii="仿宋" w:hAnsi="仿宋" w:eastAsia="仿宋" w:cs="仿宋"/>
                <w:color w:val="000000"/>
                <w:szCs w:val="32"/>
              </w:rPr>
            </w:pPr>
          </w:p>
        </w:tc>
        <w:tc>
          <w:tcPr>
            <w:tcW w:w="2296" w:type="dxa"/>
            <w:vAlign w:val="center"/>
          </w:tcPr>
          <w:p>
            <w:pPr>
              <w:rPr>
                <w:rFonts w:ascii="仿宋" w:hAnsi="仿宋" w:eastAsia="仿宋" w:cs="仿宋"/>
                <w:color w:val="000000"/>
                <w:szCs w:val="32"/>
              </w:rPr>
            </w:pPr>
            <w:r>
              <w:rPr>
                <w:rFonts w:hint="eastAsia" w:ascii="仿宋" w:hAnsi="仿宋" w:eastAsia="仿宋" w:cs="仿宋"/>
                <w:color w:val="000000"/>
                <w:szCs w:val="32"/>
              </w:rPr>
              <w:t>西：</w:t>
            </w:r>
          </w:p>
        </w:tc>
        <w:tc>
          <w:tcPr>
            <w:tcW w:w="2139" w:type="dxa"/>
            <w:gridSpan w:val="2"/>
            <w:vAlign w:val="center"/>
          </w:tcPr>
          <w:p>
            <w:pPr>
              <w:rPr>
                <w:rFonts w:ascii="仿宋" w:hAnsi="仿宋" w:eastAsia="仿宋" w:cs="仿宋"/>
                <w:color w:val="000000"/>
                <w:szCs w:val="32"/>
              </w:rPr>
            </w:pPr>
            <w:r>
              <w:rPr>
                <w:rFonts w:hint="eastAsia" w:ascii="仿宋" w:hAnsi="仿宋" w:eastAsia="仿宋" w:cs="仿宋"/>
                <w:color w:val="000000"/>
                <w:szCs w:val="32"/>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是否存在地上附着物</w:t>
            </w:r>
          </w:p>
        </w:tc>
        <w:tc>
          <w:tcPr>
            <w:tcW w:w="4435" w:type="dxa"/>
            <w:gridSpan w:val="3"/>
            <w:vAlign w:val="center"/>
          </w:tcPr>
          <w:p>
            <w:pPr>
              <w:rPr>
                <w:rFonts w:ascii="仿宋" w:hAnsi="仿宋" w:eastAsia="仿宋" w:cs="仿宋"/>
                <w:color w:val="000000"/>
                <w:szCs w:val="32"/>
              </w:rPr>
            </w:pPr>
            <w:r>
              <w:rPr>
                <w:rFonts w:hint="eastAsia" w:ascii="仿宋" w:hAnsi="仿宋" w:eastAsia="仿宋" w:cs="仿宋"/>
                <w:color w:val="000000"/>
                <w:szCs w:val="3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土地利用现状</w:t>
            </w:r>
          </w:p>
        </w:tc>
        <w:tc>
          <w:tcPr>
            <w:tcW w:w="4435" w:type="dxa"/>
            <w:gridSpan w:val="3"/>
            <w:vAlign w:val="center"/>
          </w:tcPr>
          <w:p>
            <w:pPr>
              <w:ind w:firstLine="227" w:firstLineChars="71"/>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总体规划</w:t>
            </w:r>
          </w:p>
        </w:tc>
        <w:tc>
          <w:tcPr>
            <w:tcW w:w="4435" w:type="dxa"/>
            <w:gridSpan w:val="3"/>
            <w:vAlign w:val="center"/>
          </w:tcPr>
          <w:p>
            <w:pPr>
              <w:ind w:firstLine="227" w:firstLineChars="71"/>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详细规划/村庄规划</w:t>
            </w:r>
          </w:p>
        </w:tc>
        <w:tc>
          <w:tcPr>
            <w:tcW w:w="4435" w:type="dxa"/>
            <w:gridSpan w:val="3"/>
            <w:vAlign w:val="center"/>
          </w:tcPr>
          <w:p>
            <w:pPr>
              <w:ind w:firstLine="227" w:firstLineChars="71"/>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申请入市用途</w:t>
            </w:r>
          </w:p>
        </w:tc>
        <w:tc>
          <w:tcPr>
            <w:tcW w:w="4435" w:type="dxa"/>
            <w:gridSpan w:val="3"/>
            <w:vAlign w:val="center"/>
          </w:tcPr>
          <w:p>
            <w:pPr>
              <w:ind w:firstLine="227" w:firstLineChars="71"/>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申请入市方式</w:t>
            </w:r>
          </w:p>
        </w:tc>
        <w:tc>
          <w:tcPr>
            <w:tcW w:w="4435" w:type="dxa"/>
            <w:gridSpan w:val="3"/>
            <w:vAlign w:val="center"/>
          </w:tcPr>
          <w:p>
            <w:pPr>
              <w:rPr>
                <w:rFonts w:ascii="仿宋" w:hAnsi="仿宋" w:eastAsia="仿宋" w:cs="仿宋"/>
                <w:color w:val="000000"/>
                <w:szCs w:val="32"/>
              </w:rPr>
            </w:pPr>
            <w:r>
              <w:rPr>
                <w:rFonts w:hint="eastAsia" w:ascii="仿宋" w:hAnsi="仿宋" w:eastAsia="仿宋" w:cs="仿宋"/>
                <w:color w:val="000000"/>
                <w:szCs w:val="32"/>
              </w:rPr>
              <w:t>出让□   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367" w:type="dxa"/>
            <w:vMerge w:val="continue"/>
            <w:vAlign w:val="center"/>
          </w:tcPr>
          <w:p>
            <w:pPr>
              <w:jc w:val="center"/>
              <w:rPr>
                <w:rFonts w:ascii="仿宋" w:hAnsi="仿宋" w:eastAsia="仿宋" w:cs="仿宋"/>
                <w:color w:val="000000"/>
                <w:szCs w:val="32"/>
              </w:rPr>
            </w:pPr>
          </w:p>
        </w:tc>
        <w:tc>
          <w:tcPr>
            <w:tcW w:w="3306"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年限</w:t>
            </w:r>
          </w:p>
        </w:tc>
        <w:tc>
          <w:tcPr>
            <w:tcW w:w="4435" w:type="dxa"/>
            <w:gridSpan w:val="3"/>
            <w:vAlign w:val="center"/>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exact"/>
        </w:trPr>
        <w:tc>
          <w:tcPr>
            <w:tcW w:w="2737" w:type="dxa"/>
            <w:gridSpan w:val="4"/>
            <w:vAlign w:val="center"/>
          </w:tcPr>
          <w:p>
            <w:pPr>
              <w:jc w:val="center"/>
              <w:rPr>
                <w:rFonts w:ascii="仿宋" w:hAnsi="仿宋" w:eastAsia="仿宋" w:cs="仿宋"/>
                <w:color w:val="000000"/>
                <w:szCs w:val="32"/>
              </w:rPr>
            </w:pPr>
            <w:r>
              <w:rPr>
                <w:rFonts w:hint="eastAsia" w:ascii="仿宋" w:hAnsi="仿宋" w:eastAsia="仿宋" w:cs="仿宋"/>
                <w:color w:val="000000"/>
                <w:szCs w:val="32"/>
              </w:rPr>
              <w:t>入市开发要求</w:t>
            </w:r>
          </w:p>
        </w:tc>
        <w:tc>
          <w:tcPr>
            <w:tcW w:w="6371" w:type="dxa"/>
            <w:gridSpan w:val="4"/>
            <w:vAlign w:val="center"/>
          </w:tcPr>
          <w:p>
            <w:pPr>
              <w:jc w:val="center"/>
              <w:rPr>
                <w:rFonts w:ascii="仿宋" w:hAnsi="仿宋" w:eastAsia="仿宋" w:cs="仿宋"/>
                <w:color w:val="000000"/>
                <w:szCs w:val="32"/>
              </w:rPr>
            </w:pPr>
          </w:p>
          <w:p>
            <w:pPr>
              <w:jc w:val="center"/>
              <w:rPr>
                <w:rFonts w:ascii="仿宋" w:hAnsi="仿宋" w:eastAsia="仿宋" w:cs="仿宋"/>
                <w:color w:val="000000"/>
                <w:szCs w:val="32"/>
              </w:rPr>
            </w:pPr>
          </w:p>
          <w:p>
            <w:pPr>
              <w:jc w:val="center"/>
              <w:rPr>
                <w:rFonts w:ascii="仿宋" w:hAnsi="仿宋" w:eastAsia="仿宋" w:cs="仿宋"/>
                <w:color w:val="000000"/>
                <w:szCs w:val="32"/>
              </w:rPr>
            </w:pPr>
          </w:p>
          <w:p>
            <w:pPr>
              <w:jc w:val="center"/>
              <w:rPr>
                <w:rFonts w:ascii="仿宋" w:hAnsi="仿宋" w:eastAsia="仿宋" w:cs="仿宋"/>
                <w:color w:val="000000"/>
                <w:szCs w:val="32"/>
              </w:rPr>
            </w:pPr>
          </w:p>
          <w:p>
            <w:pPr>
              <w:jc w:val="center"/>
              <w:rPr>
                <w:rFonts w:ascii="仿宋" w:hAnsi="仿宋" w:eastAsia="仿宋" w:cs="仿宋"/>
                <w:color w:val="000000"/>
                <w:szCs w:val="32"/>
              </w:rPr>
            </w:pPr>
          </w:p>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exact"/>
        </w:trPr>
        <w:tc>
          <w:tcPr>
            <w:tcW w:w="4673" w:type="dxa"/>
            <w:gridSpan w:val="5"/>
            <w:vAlign w:val="center"/>
          </w:tcPr>
          <w:p>
            <w:pPr>
              <w:jc w:val="center"/>
              <w:rPr>
                <w:rFonts w:ascii="仿宋" w:hAnsi="仿宋" w:eastAsia="仿宋" w:cs="仿宋"/>
                <w:color w:val="000000"/>
                <w:szCs w:val="32"/>
              </w:rPr>
            </w:pPr>
            <w:r>
              <w:rPr>
                <w:rFonts w:hint="eastAsia" w:ascii="仿宋" w:hAnsi="仿宋" w:eastAsia="仿宋" w:cs="仿宋"/>
                <w:color w:val="000000"/>
                <w:szCs w:val="32"/>
              </w:rPr>
              <w:t>村集体成员意愿</w:t>
            </w:r>
          </w:p>
        </w:tc>
        <w:tc>
          <w:tcPr>
            <w:tcW w:w="4435" w:type="dxa"/>
            <w:gridSpan w:val="3"/>
            <w:vAlign w:val="center"/>
          </w:tcPr>
          <w:p>
            <w:pPr>
              <w:rPr>
                <w:rFonts w:ascii="仿宋" w:hAnsi="仿宋" w:eastAsia="仿宋" w:cs="仿宋"/>
                <w:color w:val="000000"/>
                <w:szCs w:val="32"/>
              </w:rPr>
            </w:pPr>
            <w:r>
              <w:rPr>
                <w:rFonts w:hint="eastAsia" w:ascii="仿宋" w:hAnsi="仿宋" w:eastAsia="仿宋" w:cs="仿宋"/>
                <w:color w:val="000000"/>
                <w:szCs w:val="32"/>
              </w:rPr>
              <w:t>同意□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 w:type="dxa"/>
          <w:trHeight w:val="1692" w:hRule="atLeast"/>
        </w:trPr>
        <w:tc>
          <w:tcPr>
            <w:tcW w:w="9060" w:type="dxa"/>
            <w:gridSpan w:val="7"/>
            <w:vAlign w:val="center"/>
          </w:tcPr>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申请单位负责人(签名):</w:t>
            </w:r>
          </w:p>
          <w:p>
            <w:pPr>
              <w:spacing w:line="580" w:lineRule="exact"/>
              <w:ind w:firstLine="640"/>
              <w:rPr>
                <w:rFonts w:ascii="仿宋" w:hAnsi="仿宋" w:eastAsia="仿宋" w:cs="仿宋"/>
                <w:color w:val="000000"/>
                <w:szCs w:val="32"/>
              </w:rPr>
            </w:pPr>
          </w:p>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申请单位(盖章):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 w:type="dxa"/>
          <w:trHeight w:val="3122" w:hRule="atLeast"/>
        </w:trPr>
        <w:tc>
          <w:tcPr>
            <w:tcW w:w="1809" w:type="dxa"/>
            <w:gridSpan w:val="2"/>
            <w:vAlign w:val="center"/>
          </w:tcPr>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村</w:t>
            </w:r>
          </w:p>
          <w:p>
            <w:pPr>
              <w:spacing w:line="580" w:lineRule="exact"/>
              <w:jc w:val="center"/>
              <w:rPr>
                <w:rFonts w:hint="eastAsia" w:ascii="仿宋" w:hAnsi="仿宋" w:eastAsia="仿宋" w:cs="仿宋"/>
                <w:color w:val="000000"/>
                <w:szCs w:val="32"/>
                <w:lang w:eastAsia="zh-CN"/>
              </w:rPr>
            </w:pPr>
            <w:r>
              <w:rPr>
                <w:rFonts w:hint="eastAsia" w:ascii="仿宋" w:hAnsi="仿宋" w:eastAsia="仿宋" w:cs="仿宋"/>
                <w:color w:val="000000"/>
                <w:szCs w:val="32"/>
                <w:lang w:eastAsia="zh-CN"/>
              </w:rPr>
              <w:t>（居）</w:t>
            </w:r>
          </w:p>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意</w:t>
            </w:r>
          </w:p>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见</w:t>
            </w:r>
          </w:p>
        </w:tc>
        <w:tc>
          <w:tcPr>
            <w:tcW w:w="7251" w:type="dxa"/>
            <w:gridSpan w:val="5"/>
            <w:vAlign w:val="center"/>
          </w:tcPr>
          <w:p>
            <w:pPr>
              <w:spacing w:line="580" w:lineRule="exact"/>
              <w:ind w:firstLine="480"/>
              <w:rPr>
                <w:rFonts w:ascii="仿宋" w:hAnsi="仿宋" w:eastAsia="仿宋" w:cs="仿宋"/>
                <w:color w:val="000000"/>
                <w:szCs w:val="32"/>
              </w:rPr>
            </w:pPr>
            <w:r>
              <w:rPr>
                <w:rFonts w:hint="eastAsia" w:ascii="仿宋" w:hAnsi="仿宋" w:eastAsia="仿宋" w:cs="仿宋"/>
                <w:color w:val="000000"/>
                <w:szCs w:val="32"/>
              </w:rPr>
              <w:t>（如申请单位即为村委会，此栏可以不填写）</w:t>
            </w:r>
          </w:p>
          <w:p>
            <w:pPr>
              <w:spacing w:line="580" w:lineRule="exact"/>
              <w:ind w:left="3840" w:hanging="3840" w:hangingChars="1200"/>
              <w:rPr>
                <w:rFonts w:ascii="仿宋" w:hAnsi="仿宋" w:eastAsia="仿宋" w:cs="仿宋"/>
                <w:color w:val="000000"/>
                <w:szCs w:val="32"/>
              </w:rPr>
            </w:pPr>
          </w:p>
          <w:p>
            <w:pPr>
              <w:pStyle w:val="25"/>
              <w:spacing w:line="580" w:lineRule="exact"/>
              <w:ind w:firstLine="0" w:firstLineChars="0"/>
              <w:rPr>
                <w:rFonts w:ascii="仿宋" w:hAnsi="仿宋" w:cs="仿宋"/>
                <w:color w:val="000000"/>
                <w:sz w:val="32"/>
                <w:szCs w:val="32"/>
              </w:rPr>
            </w:pPr>
          </w:p>
          <w:p>
            <w:pPr>
              <w:spacing w:line="580" w:lineRule="exact"/>
              <w:ind w:left="3840" w:leftChars="1200" w:firstLine="640"/>
              <w:rPr>
                <w:rFonts w:ascii="仿宋" w:hAnsi="仿宋" w:eastAsia="仿宋" w:cs="仿宋"/>
                <w:color w:val="000000"/>
                <w:szCs w:val="32"/>
              </w:rPr>
            </w:pPr>
            <w:r>
              <w:rPr>
                <w:rFonts w:hint="eastAsia" w:ascii="仿宋" w:hAnsi="仿宋" w:eastAsia="仿宋" w:cs="仿宋"/>
                <w:color w:val="000000"/>
                <w:szCs w:val="32"/>
              </w:rPr>
              <w:t>盖章：</w:t>
            </w:r>
          </w:p>
          <w:p>
            <w:pPr>
              <w:spacing w:line="580" w:lineRule="exact"/>
              <w:rPr>
                <w:rFonts w:ascii="仿宋" w:hAnsi="仿宋" w:eastAsia="仿宋" w:cs="仿宋"/>
                <w:color w:val="000000"/>
                <w:szCs w:val="32"/>
              </w:rPr>
            </w:pPr>
            <w:r>
              <w:rPr>
                <w:rFonts w:hint="eastAsia" w:ascii="仿宋" w:hAnsi="仿宋" w:eastAsia="仿宋" w:cs="仿宋"/>
                <w:color w:val="000000"/>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 w:type="dxa"/>
          <w:trHeight w:val="2671" w:hRule="atLeast"/>
        </w:trPr>
        <w:tc>
          <w:tcPr>
            <w:tcW w:w="1809" w:type="dxa"/>
            <w:gridSpan w:val="2"/>
            <w:vAlign w:val="center"/>
          </w:tcPr>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镇</w:t>
            </w:r>
          </w:p>
          <w:p>
            <w:pPr>
              <w:spacing w:line="580" w:lineRule="exact"/>
              <w:ind w:firstLine="387" w:firstLineChars="121"/>
              <w:rPr>
                <w:rFonts w:ascii="仿宋" w:hAnsi="仿宋" w:eastAsia="仿宋" w:cs="仿宋"/>
                <w:color w:val="000000"/>
                <w:szCs w:val="32"/>
              </w:rPr>
            </w:pPr>
            <w:r>
              <w:rPr>
                <w:rFonts w:hint="eastAsia" w:ascii="仿宋" w:hAnsi="仿宋" w:eastAsia="仿宋" w:cs="仿宋"/>
                <w:color w:val="000000"/>
                <w:szCs w:val="32"/>
              </w:rPr>
              <w:t>（街）</w:t>
            </w:r>
          </w:p>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意</w:t>
            </w:r>
          </w:p>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见</w:t>
            </w:r>
          </w:p>
        </w:tc>
        <w:tc>
          <w:tcPr>
            <w:tcW w:w="7251" w:type="dxa"/>
            <w:gridSpan w:val="5"/>
            <w:vAlign w:val="top"/>
          </w:tcPr>
          <w:p>
            <w:pPr>
              <w:spacing w:line="580" w:lineRule="exact"/>
              <w:ind w:firstLine="480"/>
              <w:rPr>
                <w:rFonts w:ascii="仿宋" w:hAnsi="仿宋" w:eastAsia="仿宋" w:cs="仿宋"/>
                <w:color w:val="000000"/>
                <w:szCs w:val="32"/>
              </w:rPr>
            </w:pPr>
            <w:r>
              <w:rPr>
                <w:rFonts w:hint="eastAsia" w:ascii="仿宋" w:hAnsi="仿宋" w:eastAsia="仿宋" w:cs="仿宋"/>
                <w:color w:val="000000"/>
                <w:szCs w:val="32"/>
              </w:rPr>
              <w:t>（镇（街）出具土地使用现状、权属状况、地上附着物、入市申请等情况的意见）</w:t>
            </w:r>
          </w:p>
          <w:p>
            <w:pPr>
              <w:spacing w:line="580" w:lineRule="exact"/>
              <w:ind w:firstLine="640"/>
              <w:rPr>
                <w:rFonts w:ascii="仿宋" w:hAnsi="仿宋" w:eastAsia="仿宋" w:cs="仿宋"/>
                <w:color w:val="000000"/>
                <w:szCs w:val="32"/>
              </w:rPr>
            </w:pPr>
          </w:p>
          <w:p>
            <w:pPr>
              <w:pStyle w:val="25"/>
              <w:spacing w:line="580" w:lineRule="exact"/>
              <w:ind w:firstLine="640"/>
              <w:rPr>
                <w:rFonts w:ascii="仿宋" w:hAnsi="仿宋" w:cs="仿宋"/>
                <w:color w:val="000000"/>
                <w:sz w:val="32"/>
                <w:szCs w:val="32"/>
              </w:rPr>
            </w:pPr>
          </w:p>
          <w:p>
            <w:pPr>
              <w:spacing w:line="580" w:lineRule="exact"/>
              <w:ind w:firstLine="3840" w:firstLineChars="1200"/>
              <w:rPr>
                <w:rFonts w:ascii="仿宋" w:hAnsi="仿宋" w:eastAsia="仿宋" w:cs="仿宋"/>
                <w:color w:val="000000"/>
                <w:szCs w:val="32"/>
              </w:rPr>
            </w:pPr>
            <w:r>
              <w:rPr>
                <w:rFonts w:hint="eastAsia" w:ascii="仿宋" w:hAnsi="仿宋" w:eastAsia="仿宋" w:cs="仿宋"/>
                <w:color w:val="000000"/>
                <w:szCs w:val="32"/>
              </w:rPr>
              <w:t xml:space="preserve">   盖章：</w:t>
            </w:r>
          </w:p>
          <w:p>
            <w:pPr>
              <w:spacing w:line="580" w:lineRule="exact"/>
              <w:ind w:firstLine="640"/>
              <w:jc w:val="center"/>
              <w:rPr>
                <w:rFonts w:ascii="仿宋" w:hAnsi="仿宋" w:eastAsia="仿宋" w:cs="仿宋"/>
                <w:color w:val="000000"/>
                <w:szCs w:val="32"/>
              </w:rPr>
            </w:pPr>
            <w:r>
              <w:rPr>
                <w:rFonts w:hint="eastAsia" w:ascii="仿宋" w:hAnsi="仿宋" w:eastAsia="仿宋" w:cs="仿宋"/>
                <w:color w:val="000000"/>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8" w:type="dxa"/>
          <w:trHeight w:val="1586" w:hRule="atLeast"/>
        </w:trPr>
        <w:tc>
          <w:tcPr>
            <w:tcW w:w="1809" w:type="dxa"/>
            <w:gridSpan w:val="2"/>
            <w:vAlign w:val="center"/>
          </w:tcPr>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备</w:t>
            </w:r>
          </w:p>
          <w:p>
            <w:pPr>
              <w:spacing w:line="580" w:lineRule="exact"/>
              <w:ind w:firstLine="640"/>
              <w:rPr>
                <w:rFonts w:ascii="仿宋" w:hAnsi="仿宋" w:eastAsia="仿宋" w:cs="仿宋"/>
                <w:color w:val="000000"/>
                <w:szCs w:val="32"/>
              </w:rPr>
            </w:pPr>
            <w:r>
              <w:rPr>
                <w:rFonts w:hint="eastAsia" w:ascii="仿宋" w:hAnsi="仿宋" w:eastAsia="仿宋" w:cs="仿宋"/>
                <w:color w:val="000000"/>
                <w:szCs w:val="32"/>
              </w:rPr>
              <w:t>注</w:t>
            </w:r>
          </w:p>
        </w:tc>
        <w:tc>
          <w:tcPr>
            <w:tcW w:w="7251" w:type="dxa"/>
            <w:gridSpan w:val="5"/>
            <w:vAlign w:val="top"/>
          </w:tcPr>
          <w:p>
            <w:pPr>
              <w:spacing w:line="580" w:lineRule="exact"/>
              <w:ind w:firstLine="640"/>
              <w:rPr>
                <w:rFonts w:ascii="仿宋" w:hAnsi="仿宋" w:eastAsia="仿宋" w:cs="仿宋"/>
                <w:color w:val="000000"/>
                <w:szCs w:val="32"/>
              </w:rPr>
            </w:pPr>
          </w:p>
          <w:p>
            <w:pPr>
              <w:spacing w:line="580" w:lineRule="exact"/>
              <w:ind w:firstLine="640"/>
              <w:rPr>
                <w:rFonts w:ascii="仿宋" w:hAnsi="仿宋" w:eastAsia="仿宋" w:cs="仿宋"/>
                <w:color w:val="000000"/>
                <w:szCs w:val="32"/>
              </w:rPr>
            </w:pPr>
          </w:p>
        </w:tc>
      </w:tr>
    </w:tbl>
    <w:p>
      <w:pPr>
        <w:spacing w:line="590" w:lineRule="exact"/>
        <w:rPr>
          <w:rFonts w:ascii="仿宋" w:hAnsi="仿宋" w:eastAsia="仿宋" w:cs="仿宋"/>
          <w:b/>
          <w:bCs/>
          <w:color w:val="000000"/>
          <w:szCs w:val="32"/>
        </w:rPr>
      </w:pPr>
      <w:r>
        <w:rPr>
          <w:rFonts w:hint="eastAsia" w:ascii="黑体" w:hAnsi="黑体" w:eastAsia="黑体" w:cs="黑体"/>
          <w:color w:val="000000"/>
          <w:szCs w:val="32"/>
        </w:rPr>
        <w:t>附件</w:t>
      </w:r>
      <w:r>
        <w:rPr>
          <w:rFonts w:hint="eastAsia" w:ascii="仿宋" w:hAnsi="仿宋" w:eastAsia="仿宋" w:cs="仿宋"/>
          <w:b/>
          <w:bCs/>
          <w:color w:val="000000"/>
          <w:szCs w:val="32"/>
        </w:rPr>
        <w:t>2</w:t>
      </w:r>
    </w:p>
    <w:p>
      <w:pPr>
        <w:spacing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莆田市荔城区集体经营性建设用地入市委托书</w:t>
      </w:r>
    </w:p>
    <w:p>
      <w:pPr>
        <w:spacing w:line="590" w:lineRule="exact"/>
        <w:rPr>
          <w:rFonts w:ascii="仿宋" w:hAnsi="仿宋" w:eastAsia="仿宋" w:cs="仿宋"/>
          <w:color w:val="000000"/>
          <w:szCs w:val="32"/>
        </w:rPr>
      </w:pPr>
    </w:p>
    <w:p>
      <w:pPr>
        <w:spacing w:line="590" w:lineRule="exact"/>
        <w:rPr>
          <w:rFonts w:ascii="仿宋" w:hAnsi="仿宋" w:eastAsia="仿宋" w:cs="仿宋"/>
          <w:color w:val="000000"/>
          <w:szCs w:val="32"/>
        </w:rPr>
      </w:pPr>
      <w:r>
        <w:rPr>
          <w:rFonts w:hint="eastAsia" w:ascii="仿宋" w:hAnsi="仿宋" w:eastAsia="仿宋" w:cs="仿宋"/>
          <w:color w:val="000000"/>
          <w:szCs w:val="32"/>
        </w:rPr>
        <w:t>莆田市荔城区自然资源局:</w:t>
      </w:r>
    </w:p>
    <w:p>
      <w:pPr>
        <w:spacing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兹有我村宗地编号为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的集体经营性建设用地具备入市交易条件(产权清晰、符合控制性详细规划或村庄规划，符合产业政策、环保要求等)，用地面积为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平方米，土地用途为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，特委托贵单位开展集体经营性建设用地入市交易等相关事宜(包括地块评估、开展挂牌活动等)。</w:t>
      </w:r>
    </w:p>
    <w:p>
      <w:pPr>
        <w:spacing w:line="590" w:lineRule="exact"/>
        <w:rPr>
          <w:rFonts w:ascii="仿宋" w:hAnsi="仿宋" w:eastAsia="仿宋" w:cs="仿宋"/>
          <w:color w:val="000000"/>
          <w:szCs w:val="32"/>
        </w:rPr>
      </w:pPr>
    </w:p>
    <w:p>
      <w:pPr>
        <w:pStyle w:val="6"/>
        <w:rPr>
          <w:color w:val="000000"/>
        </w:rPr>
      </w:pPr>
    </w:p>
    <w:p>
      <w:pPr>
        <w:spacing w:line="590" w:lineRule="exact"/>
        <w:rPr>
          <w:rFonts w:ascii="仿宋" w:hAnsi="仿宋" w:eastAsia="仿宋" w:cs="仿宋"/>
          <w:color w:val="000000"/>
          <w:szCs w:val="32"/>
        </w:rPr>
      </w:pPr>
      <w:r>
        <w:rPr>
          <w:rFonts w:hint="eastAsia" w:ascii="仿宋" w:hAnsi="仿宋" w:eastAsia="仿宋" w:cs="仿宋"/>
          <w:color w:val="000000"/>
          <w:szCs w:val="32"/>
        </w:rPr>
        <w:t xml:space="preserve">                                  （出让人）</w:t>
      </w:r>
    </w:p>
    <w:p>
      <w:pPr>
        <w:spacing w:line="590" w:lineRule="exact"/>
        <w:rPr>
          <w:rFonts w:ascii="仿宋" w:hAnsi="仿宋" w:eastAsia="仿宋" w:cs="仿宋"/>
          <w:color w:val="000000"/>
          <w:szCs w:val="32"/>
        </w:rPr>
      </w:pPr>
      <w:r>
        <w:rPr>
          <w:rFonts w:hint="eastAsia" w:ascii="仿宋" w:hAnsi="仿宋" w:eastAsia="仿宋" w:cs="仿宋"/>
          <w:color w:val="000000"/>
          <w:szCs w:val="32"/>
        </w:rPr>
        <w:t xml:space="preserve">                                2024年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w:t>
      </w:r>
    </w:p>
    <w:p>
      <w:pPr>
        <w:spacing w:after="0" w:line="590" w:lineRule="exact"/>
        <w:jc w:val="left"/>
        <w:rPr>
          <w:color w:val="000000"/>
        </w:rPr>
      </w:pPr>
      <w:r>
        <w:rPr>
          <w:rFonts w:hint="eastAsia" w:ascii="仿宋" w:hAnsi="仿宋" w:eastAsia="仿宋" w:cs="仿宋"/>
          <w:color w:val="000000"/>
          <w:szCs w:val="32"/>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3</w:t>
      </w:r>
    </w:p>
    <w:p>
      <w:pPr>
        <w:spacing w:beforeLines="50" w:after="0"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莆田市荔城区农村集体经营性建设用地使用权</w:t>
      </w:r>
    </w:p>
    <w:p>
      <w:pPr>
        <w:spacing w:afterLines="50"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入市决议书</w:t>
      </w:r>
    </w:p>
    <w:tbl>
      <w:tblPr>
        <w:tblW w:w="9083" w:type="dxa"/>
        <w:tblInd w:w="9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3"/>
        <w:gridCol w:w="1494"/>
        <w:gridCol w:w="1494"/>
        <w:gridCol w:w="1494"/>
        <w:gridCol w:w="1494"/>
        <w:gridCol w:w="16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68" w:hRule="atLeast"/>
        </w:trPr>
        <w:tc>
          <w:tcPr>
            <w:tcW w:w="9083" w:type="dxa"/>
            <w:gridSpan w:val="6"/>
            <w:vAlign w:val="center"/>
          </w:tcPr>
          <w:p>
            <w:pPr>
              <w:spacing w:after="0" w:line="560" w:lineRule="exact"/>
              <w:rPr>
                <w:rFonts w:ascii="仿宋" w:hAnsi="仿宋" w:eastAsia="仿宋" w:cs="仿宋"/>
                <w:color w:val="000000"/>
                <w:sz w:val="28"/>
                <w:szCs w:val="28"/>
              </w:rPr>
            </w:pPr>
            <w:r>
              <w:rPr>
                <w:rFonts w:hint="eastAsia" w:ascii="仿宋" w:hAnsi="仿宋" w:eastAsia="仿宋" w:cs="仿宋"/>
                <w:bCs/>
                <w:color w:val="000000"/>
                <w:sz w:val="28"/>
                <w:szCs w:val="28"/>
              </w:rPr>
              <w:t>集体经营性建设用地所有权人</w:t>
            </w:r>
            <w:r>
              <w:rPr>
                <w:rFonts w:hint="eastAsia" w:ascii="仿宋" w:hAnsi="仿宋" w:eastAsia="仿宋" w:cs="仿宋"/>
                <w:color w:val="000000"/>
                <w:sz w:val="28"/>
                <w:szCs w:val="28"/>
              </w:rPr>
              <w:t>：（盖章）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32" w:hRule="atLeast"/>
        </w:trPr>
        <w:tc>
          <w:tcPr>
            <w:tcW w:w="9083" w:type="dxa"/>
            <w:gridSpan w:val="6"/>
            <w:vAlign w:val="center"/>
          </w:tcPr>
          <w:p>
            <w:pPr>
              <w:spacing w:after="0" w:line="560" w:lineRule="exact"/>
              <w:rPr>
                <w:rFonts w:ascii="仿宋" w:hAnsi="仿宋" w:eastAsia="仿宋" w:cs="仿宋"/>
                <w:color w:val="000000"/>
                <w:sz w:val="28"/>
                <w:szCs w:val="28"/>
              </w:rPr>
            </w:pPr>
            <w:r>
              <w:rPr>
                <w:rFonts w:hint="eastAsia" w:ascii="仿宋" w:hAnsi="仿宋" w:eastAsia="仿宋" w:cs="仿宋"/>
                <w:bCs/>
                <w:color w:val="000000"/>
                <w:sz w:val="28"/>
                <w:szCs w:val="28"/>
              </w:rPr>
              <w:t>表决时间：</w:t>
            </w:r>
            <w:r>
              <w:rPr>
                <w:rFonts w:hint="eastAsia" w:ascii="仿宋" w:hAnsi="仿宋" w:eastAsia="仿宋" w:cs="仿宋"/>
                <w:color w:val="000000"/>
                <w:szCs w:val="32"/>
              </w:rPr>
              <w:t xml:space="preserve">  </w:t>
            </w:r>
            <w:r>
              <w:rPr>
                <w:rFonts w:hint="eastAsia" w:ascii="仿宋" w:hAnsi="仿宋" w:eastAsia="仿宋" w:cs="仿宋"/>
                <w:color w:val="000000"/>
                <w:sz w:val="28"/>
                <w:szCs w:val="28"/>
              </w:rPr>
              <w:t>年</w:t>
            </w:r>
            <w:r>
              <w:rPr>
                <w:rFonts w:hint="eastAsia" w:ascii="仿宋" w:hAnsi="仿宋" w:eastAsia="仿宋" w:cs="仿宋"/>
                <w:color w:val="000000"/>
                <w:szCs w:val="32"/>
              </w:rPr>
              <w:t xml:space="preserve">  </w:t>
            </w:r>
            <w:r>
              <w:rPr>
                <w:rFonts w:hint="eastAsia" w:ascii="仿宋" w:hAnsi="仿宋" w:eastAsia="仿宋" w:cs="仿宋"/>
                <w:color w:val="000000"/>
                <w:sz w:val="28"/>
                <w:szCs w:val="28"/>
              </w:rPr>
              <w:t>月</w:t>
            </w:r>
            <w:r>
              <w:rPr>
                <w:rFonts w:hint="eastAsia" w:ascii="仿宋" w:hAnsi="仿宋" w:eastAsia="仿宋" w:cs="仿宋"/>
                <w:color w:val="000000"/>
                <w:szCs w:val="32"/>
              </w:rPr>
              <w:t xml:space="preserve"> </w:t>
            </w:r>
            <w:r>
              <w:rPr>
                <w:rFonts w:hint="eastAsia" w:ascii="仿宋" w:hAnsi="仿宋" w:eastAsia="仿宋" w:cs="仿宋"/>
                <w:color w:val="000000"/>
                <w:sz w:val="28"/>
                <w:szCs w:val="28"/>
              </w:rPr>
              <w:t xml:space="preserve">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11" w:hRule="atLeast"/>
        </w:trPr>
        <w:tc>
          <w:tcPr>
            <w:tcW w:w="9083" w:type="dxa"/>
            <w:gridSpan w:val="6"/>
            <w:vAlign w:val="center"/>
          </w:tcPr>
          <w:p>
            <w:pPr>
              <w:spacing w:after="0" w:line="560" w:lineRule="exact"/>
              <w:rPr>
                <w:rFonts w:ascii="仿宋" w:hAnsi="仿宋" w:eastAsia="仿宋" w:cs="仿宋"/>
                <w:bCs/>
                <w:color w:val="000000"/>
                <w:sz w:val="28"/>
                <w:szCs w:val="28"/>
              </w:rPr>
            </w:pPr>
            <w:r>
              <w:rPr>
                <w:rFonts w:hint="eastAsia" w:ascii="仿宋" w:hAnsi="仿宋" w:eastAsia="仿宋" w:cs="仿宋"/>
                <w:bCs/>
                <w:color w:val="000000"/>
                <w:sz w:val="28"/>
                <w:szCs w:val="28"/>
              </w:rPr>
              <w:t>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58" w:hRule="atLeast"/>
        </w:trPr>
        <w:tc>
          <w:tcPr>
            <w:tcW w:w="9083" w:type="dxa"/>
            <w:gridSpan w:val="6"/>
            <w:vAlign w:val="center"/>
          </w:tcPr>
          <w:p>
            <w:pPr>
              <w:spacing w:after="0" w:line="560" w:lineRule="exact"/>
              <w:ind w:firstLine="640"/>
              <w:rPr>
                <w:rFonts w:ascii="仿宋" w:hAnsi="仿宋" w:eastAsia="仿宋" w:cs="仿宋"/>
                <w:color w:val="000000"/>
                <w:sz w:val="28"/>
                <w:szCs w:val="28"/>
              </w:rPr>
            </w:pPr>
            <w:r>
              <w:rPr>
                <w:rFonts w:hint="eastAsia" w:ascii="仿宋" w:hAnsi="仿宋" w:eastAsia="仿宋" w:cs="仿宋"/>
                <w:bCs/>
                <w:color w:val="000000"/>
                <w:sz w:val="28"/>
                <w:szCs w:val="28"/>
              </w:rPr>
              <w:t>参会人员：</w:t>
            </w:r>
            <w:r>
              <w:rPr>
                <w:rFonts w:hint="eastAsia" w:ascii="仿宋" w:hAnsi="仿宋" w:eastAsia="仿宋" w:cs="仿宋"/>
                <w:color w:val="000000"/>
                <w:sz w:val="28"/>
                <w:szCs w:val="28"/>
              </w:rPr>
              <w:t>（概述参会人员结构，例：镇政府工作人员、村委会干部及村民代表等共X人）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1" w:hRule="atLeast"/>
        </w:trPr>
        <w:tc>
          <w:tcPr>
            <w:tcW w:w="9083" w:type="dxa"/>
            <w:gridSpan w:val="6"/>
            <w:vAlign w:val="center"/>
          </w:tcPr>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表决内容：经</w:t>
            </w:r>
            <w:r>
              <w:rPr>
                <w:rFonts w:hint="eastAsia" w:ascii="仿宋" w:hAnsi="仿宋" w:eastAsia="仿宋" w:cs="仿宋"/>
                <w:color w:val="000000"/>
                <w:szCs w:val="32"/>
              </w:rPr>
              <w:t xml:space="preserve">    </w:t>
            </w:r>
            <w:r>
              <w:rPr>
                <w:rFonts w:hint="eastAsia" w:ascii="仿宋" w:hAnsi="仿宋" w:eastAsia="仿宋" w:cs="仿宋"/>
                <w:color w:val="000000"/>
                <w:sz w:val="28"/>
                <w:szCs w:val="28"/>
              </w:rPr>
              <w:t>年</w:t>
            </w:r>
            <w:r>
              <w:rPr>
                <w:rFonts w:hint="eastAsia" w:ascii="仿宋" w:hAnsi="仿宋" w:eastAsia="仿宋" w:cs="仿宋"/>
                <w:color w:val="000000"/>
                <w:szCs w:val="32"/>
              </w:rPr>
              <w:t xml:space="preserve">  </w:t>
            </w:r>
            <w:r>
              <w:rPr>
                <w:rFonts w:hint="eastAsia" w:ascii="仿宋" w:hAnsi="仿宋" w:eastAsia="仿宋" w:cs="仿宋"/>
                <w:color w:val="000000"/>
                <w:sz w:val="28"/>
                <w:szCs w:val="28"/>
              </w:rPr>
              <w:t>月</w:t>
            </w:r>
            <w:r>
              <w:rPr>
                <w:rFonts w:hint="eastAsia" w:ascii="仿宋" w:hAnsi="仿宋" w:eastAsia="仿宋" w:cs="仿宋"/>
                <w:color w:val="000000"/>
                <w:szCs w:val="32"/>
              </w:rPr>
              <w:t xml:space="preserve">  </w:t>
            </w:r>
            <w:r>
              <w:rPr>
                <w:rFonts w:hint="eastAsia" w:ascii="仿宋" w:hAnsi="仿宋" w:eastAsia="仿宋" w:cs="仿宋"/>
                <w:color w:val="000000"/>
                <w:sz w:val="28"/>
                <w:szCs w:val="28"/>
              </w:rPr>
              <w:t>日召开的会议表决，经本集体经济组织村民代表村民表决同意，通过集体经营性建设用地使用权入市方案（详细内容见集体经营性建设用地入市方案）：</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1.宗地编号：                   2.宗地位置：</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3．集体土地权属证书：（名称及证号）</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4．宗地面积：                  5.宗地用途：</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6．入市年限：</w:t>
            </w:r>
          </w:p>
          <w:p>
            <w:pPr>
              <w:spacing w:after="0" w:line="560" w:lineRule="exact"/>
              <w:ind w:firstLine="640"/>
              <w:rPr>
                <w:rFonts w:ascii="仿宋" w:hAnsi="仿宋" w:eastAsia="仿宋" w:cs="仿宋"/>
                <w:bCs/>
                <w:color w:val="000000"/>
                <w:sz w:val="28"/>
                <w:szCs w:val="28"/>
              </w:rPr>
            </w:pPr>
            <w:r>
              <w:rPr>
                <w:rFonts w:hint="eastAsia" w:ascii="仿宋" w:hAnsi="仿宋" w:eastAsia="仿宋" w:cs="仿宋"/>
                <w:bCs/>
                <w:color w:val="000000"/>
                <w:sz w:val="28"/>
                <w:szCs w:val="28"/>
              </w:rPr>
              <w:t>7．规划条件：</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8．宗地现状：</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9．入市交易方式：</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10．土地评估价格：             11.交易起始价：</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12．竞买保证金：</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13．底价确定方式：</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14．成交价款支付方式：</w:t>
            </w:r>
          </w:p>
          <w:p>
            <w:pPr>
              <w:spacing w:after="0" w:line="560" w:lineRule="exact"/>
              <w:ind w:firstLine="640"/>
              <w:rPr>
                <w:rFonts w:ascii="仿宋" w:hAnsi="仿宋" w:eastAsia="仿宋" w:cs="仿宋"/>
                <w:color w:val="000000"/>
                <w:sz w:val="28"/>
                <w:szCs w:val="28"/>
              </w:rPr>
            </w:pPr>
            <w:r>
              <w:rPr>
                <w:rFonts w:hint="eastAsia" w:ascii="仿宋" w:hAnsi="仿宋" w:eastAsia="仿宋" w:cs="仿宋"/>
                <w:color w:val="000000"/>
                <w:sz w:val="28"/>
                <w:szCs w:val="28"/>
              </w:rPr>
              <w:t>15．其他要求：（地上附着物处置、地上建筑物分割转让要求等）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79" w:hRule="atLeast"/>
        </w:trPr>
        <w:tc>
          <w:tcPr>
            <w:tcW w:w="9083" w:type="dxa"/>
            <w:gridSpan w:val="6"/>
            <w:tcBorders>
              <w:top w:val="single" w:color="auto" w:sz="4" w:space="0"/>
              <w:left w:val="single" w:color="auto" w:sz="4" w:space="0"/>
              <w:right w:val="single" w:color="auto" w:sz="4" w:space="0"/>
            </w:tcBorders>
            <w:vAlign w:val="center"/>
          </w:tcPr>
          <w:p>
            <w:pPr>
              <w:spacing w:after="0" w:line="560" w:lineRule="exact"/>
              <w:rPr>
                <w:rFonts w:ascii="仿宋" w:hAnsi="仿宋" w:eastAsia="仿宋" w:cs="仿宋"/>
                <w:bCs/>
                <w:color w:val="000000"/>
                <w:sz w:val="28"/>
                <w:szCs w:val="28"/>
              </w:rPr>
            </w:pPr>
            <w:r>
              <w:rPr>
                <w:rFonts w:hint="eastAsia" w:ascii="仿宋" w:hAnsi="仿宋" w:eastAsia="仿宋" w:cs="仿宋"/>
                <w:bCs/>
                <w:color w:val="000000"/>
                <w:sz w:val="28"/>
                <w:szCs w:val="28"/>
              </w:rPr>
              <w:t>表决情况：</w:t>
            </w:r>
          </w:p>
          <w:p>
            <w:pPr>
              <w:spacing w:after="0" w:line="560" w:lineRule="exact"/>
              <w:rPr>
                <w:rFonts w:ascii="仿宋" w:hAnsi="仿宋" w:eastAsia="仿宋" w:cs="仿宋"/>
                <w:bCs/>
                <w:color w:val="000000"/>
                <w:sz w:val="28"/>
                <w:szCs w:val="28"/>
              </w:rPr>
            </w:pPr>
            <w:r>
              <w:rPr>
                <w:rFonts w:hint="eastAsia" w:ascii="仿宋" w:hAnsi="仿宋" w:eastAsia="仿宋" w:cs="仿宋"/>
                <w:bCs/>
                <w:color w:val="000000"/>
                <w:sz w:val="28"/>
                <w:szCs w:val="28"/>
              </w:rPr>
              <w:t>同意的签名如下: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3"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73"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53"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9083" w:type="dxa"/>
            <w:gridSpan w:val="6"/>
            <w:vAlign w:val="center"/>
          </w:tcPr>
          <w:p>
            <w:pPr>
              <w:spacing w:after="0" w:line="560" w:lineRule="exact"/>
              <w:rPr>
                <w:rFonts w:ascii="仿宋" w:hAnsi="仿宋" w:eastAsia="仿宋" w:cs="仿宋"/>
                <w:bCs/>
                <w:color w:val="000000"/>
                <w:sz w:val="28"/>
                <w:szCs w:val="28"/>
              </w:rPr>
            </w:pPr>
            <w:r>
              <w:rPr>
                <w:rFonts w:hint="eastAsia" w:ascii="仿宋" w:hAnsi="仿宋" w:eastAsia="仿宋" w:cs="仿宋"/>
                <w:bCs/>
                <w:color w:val="000000"/>
                <w:sz w:val="28"/>
                <w:szCs w:val="28"/>
              </w:rPr>
              <w:t>不同意的签名如下: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9083" w:type="dxa"/>
            <w:gridSpan w:val="6"/>
            <w:vAlign w:val="center"/>
          </w:tcPr>
          <w:p>
            <w:pPr>
              <w:spacing w:after="0" w:line="560" w:lineRule="exact"/>
              <w:rPr>
                <w:rFonts w:ascii="仿宋" w:hAnsi="仿宋" w:eastAsia="仿宋" w:cs="仿宋"/>
                <w:bCs/>
                <w:color w:val="000000"/>
                <w:sz w:val="28"/>
                <w:szCs w:val="28"/>
              </w:rPr>
            </w:pPr>
            <w:r>
              <w:rPr>
                <w:rFonts w:hint="eastAsia" w:ascii="仿宋" w:hAnsi="仿宋" w:eastAsia="仿宋" w:cs="仿宋"/>
                <w:bCs/>
                <w:color w:val="000000"/>
                <w:sz w:val="28"/>
                <w:szCs w:val="28"/>
              </w:rPr>
              <w:t>弃权的签名如下: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8"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34" w:hRule="atLeast"/>
        </w:trPr>
        <w:tc>
          <w:tcPr>
            <w:tcW w:w="1493"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494" w:type="dxa"/>
            <w:vAlign w:val="center"/>
          </w:tcPr>
          <w:p>
            <w:pPr>
              <w:spacing w:after="0" w:line="560" w:lineRule="exact"/>
              <w:ind w:firstLine="640"/>
              <w:rPr>
                <w:rFonts w:ascii="仿宋" w:hAnsi="仿宋" w:eastAsia="仿宋" w:cs="仿宋"/>
                <w:color w:val="000000"/>
                <w:sz w:val="28"/>
                <w:szCs w:val="28"/>
              </w:rPr>
            </w:pPr>
          </w:p>
        </w:tc>
        <w:tc>
          <w:tcPr>
            <w:tcW w:w="1614" w:type="dxa"/>
            <w:vAlign w:val="center"/>
          </w:tcPr>
          <w:p>
            <w:pPr>
              <w:spacing w:after="0" w:line="560" w:lineRule="exact"/>
              <w:ind w:firstLine="640"/>
              <w:rPr>
                <w:rFonts w:ascii="仿宋" w:hAnsi="仿宋" w:eastAsia="仿宋" w:cs="仿宋"/>
                <w:color w:val="00000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91" w:hRule="atLeast"/>
        </w:trPr>
        <w:tc>
          <w:tcPr>
            <w:tcW w:w="9083" w:type="dxa"/>
            <w:gridSpan w:val="6"/>
            <w:vAlign w:val="center"/>
          </w:tcPr>
          <w:p>
            <w:pPr>
              <w:spacing w:after="0" w:line="560" w:lineRule="exact"/>
              <w:rPr>
                <w:rFonts w:ascii="仿宋" w:hAnsi="仿宋" w:eastAsia="仿宋" w:cs="仿宋"/>
                <w:color w:val="000000"/>
                <w:sz w:val="28"/>
                <w:szCs w:val="28"/>
              </w:rPr>
            </w:pPr>
            <w:r>
              <w:rPr>
                <w:rFonts w:hint="eastAsia" w:ascii="仿宋" w:hAnsi="仿宋" w:eastAsia="仿宋" w:cs="仿宋"/>
                <w:bCs/>
                <w:color w:val="000000"/>
                <w:sz w:val="28"/>
                <w:szCs w:val="28"/>
              </w:rPr>
              <w:t>表决结果</w:t>
            </w:r>
            <w:r>
              <w:rPr>
                <w:rFonts w:hint="eastAsia" w:ascii="仿宋" w:hAnsi="仿宋" w:eastAsia="仿宋" w:cs="仿宋"/>
                <w:color w:val="000000"/>
                <w:sz w:val="28"/>
                <w:szCs w:val="28"/>
              </w:rPr>
              <w:t>：本次应参加表决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人，实际参加表决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人，其中同意</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w:t>
            </w:r>
          </w:p>
          <w:p>
            <w:pPr>
              <w:spacing w:after="0"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          不同意</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人，弃权</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人，经村民会议三分之二以上□</w:t>
            </w:r>
            <w:r>
              <w:rPr>
                <w:rFonts w:hint="eastAsia" w:ascii="仿宋" w:hAnsi="仿宋" w:eastAsia="仿宋" w:cs="仿宋"/>
                <w:color w:val="000000"/>
                <w:sz w:val="28"/>
                <w:szCs w:val="28"/>
                <w:u w:val="single"/>
              </w:rPr>
              <w:t>村民代</w:t>
            </w:r>
          </w:p>
          <w:p>
            <w:pPr>
              <w:spacing w:after="0"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表 </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村民</w:t>
            </w:r>
            <w:r>
              <w:rPr>
                <w:rFonts w:hint="eastAsia" w:ascii="仿宋" w:hAnsi="仿宋" w:eastAsia="仿宋" w:cs="仿宋"/>
                <w:color w:val="000000"/>
                <w:sz w:val="28"/>
                <w:szCs w:val="28"/>
              </w:rPr>
              <w:t xml:space="preserve">表决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（同意／不同意）入市方案。</w:t>
            </w:r>
          </w:p>
        </w:tc>
      </w:tr>
    </w:tbl>
    <w:p>
      <w:pPr>
        <w:spacing w:beforeLines="50" w:after="0" w:line="500" w:lineRule="exact"/>
        <w:rPr>
          <w:rFonts w:ascii="楷体" w:hAnsi="楷体" w:eastAsia="楷体" w:cs="楷体"/>
          <w:color w:val="000000"/>
          <w:sz w:val="28"/>
          <w:szCs w:val="28"/>
        </w:rPr>
      </w:pPr>
      <w:r>
        <w:rPr>
          <w:rFonts w:hint="eastAsia" w:ascii="楷体" w:hAnsi="楷体" w:eastAsia="楷体" w:cs="楷体"/>
          <w:color w:val="000000"/>
          <w:sz w:val="28"/>
          <w:szCs w:val="28"/>
        </w:rPr>
        <w:t>备注：1.本集体经济组织共有</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户</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人，村民代表</w:t>
      </w:r>
      <w:r>
        <w:rPr>
          <w:rFonts w:hint="eastAsia" w:ascii="楷体" w:hAnsi="楷体" w:eastAsia="楷体" w:cs="楷体"/>
          <w:color w:val="000000"/>
          <w:sz w:val="28"/>
          <w:szCs w:val="28"/>
          <w:u w:val="single"/>
        </w:rPr>
        <w:t xml:space="preserve">   </w:t>
      </w:r>
      <w:r>
        <w:rPr>
          <w:rFonts w:hint="eastAsia" w:ascii="楷体" w:hAnsi="楷体" w:eastAsia="楷体" w:cs="楷体"/>
          <w:color w:val="000000"/>
          <w:sz w:val="28"/>
          <w:szCs w:val="28"/>
        </w:rPr>
        <w:t>人；</w:t>
      </w:r>
    </w:p>
    <w:p>
      <w:pPr>
        <w:spacing w:after="0" w:line="500" w:lineRule="exact"/>
        <w:rPr>
          <w:rFonts w:ascii="楷体" w:hAnsi="楷体" w:eastAsia="楷体" w:cs="楷体"/>
          <w:color w:val="000000"/>
          <w:sz w:val="28"/>
          <w:szCs w:val="28"/>
        </w:rPr>
      </w:pPr>
      <w:r>
        <w:rPr>
          <w:rFonts w:hint="eastAsia" w:ascii="楷体" w:hAnsi="楷体" w:eastAsia="楷体" w:cs="楷体"/>
          <w:color w:val="000000"/>
          <w:sz w:val="28"/>
          <w:szCs w:val="28"/>
        </w:rPr>
        <w:t xml:space="preserve">      2.本表一式四份，申请人、镇（街）人民政府、区人民政府、区</w:t>
      </w:r>
    </w:p>
    <w:p>
      <w:pPr>
        <w:spacing w:after="0" w:line="500" w:lineRule="exact"/>
        <w:rPr>
          <w:rFonts w:ascii="楷体" w:hAnsi="楷体" w:eastAsia="楷体" w:cs="楷体"/>
          <w:color w:val="000000"/>
          <w:sz w:val="28"/>
          <w:szCs w:val="28"/>
        </w:rPr>
      </w:pPr>
      <w:r>
        <w:rPr>
          <w:rFonts w:hint="eastAsia" w:ascii="楷体" w:hAnsi="楷体" w:eastAsia="楷体" w:cs="楷体"/>
          <w:color w:val="000000"/>
          <w:sz w:val="28"/>
          <w:szCs w:val="28"/>
        </w:rPr>
        <w:t xml:space="preserve">        规划和自然资源主管部门各一份。</w:t>
      </w:r>
    </w:p>
    <w:p>
      <w:pPr>
        <w:spacing w:after="0" w:line="590" w:lineRule="exact"/>
        <w:rPr>
          <w:rFonts w:ascii="仿宋" w:hAnsi="仿宋" w:eastAsia="仿宋" w:cs="仿宋"/>
          <w:b/>
          <w:bCs/>
          <w:color w:val="000000"/>
          <w:szCs w:val="32"/>
        </w:rPr>
      </w:pPr>
      <w:r>
        <w:rPr>
          <w:rFonts w:hint="eastAsia" w:ascii="黑体" w:hAnsi="黑体" w:eastAsia="黑体" w:cs="黑体"/>
          <w:color w:val="000000"/>
          <w:szCs w:val="32"/>
        </w:rPr>
        <w:t>附件</w:t>
      </w:r>
      <w:r>
        <w:rPr>
          <w:rFonts w:hint="eastAsia" w:ascii="仿宋" w:hAnsi="仿宋" w:eastAsia="仿宋" w:cs="仿宋"/>
          <w:b/>
          <w:bCs/>
          <w:color w:val="000000"/>
          <w:szCs w:val="32"/>
        </w:rPr>
        <w:t>4</w:t>
      </w:r>
    </w:p>
    <w:p>
      <w:pPr>
        <w:spacing w:after="0"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莆田市荔城区集体经营性建设用地成交确认书</w:t>
      </w:r>
    </w:p>
    <w:p>
      <w:pPr>
        <w:pStyle w:val="6"/>
        <w:spacing w:before="0" w:after="0" w:line="540" w:lineRule="exact"/>
        <w:ind w:firstLine="640" w:firstLineChars="200"/>
        <w:rPr>
          <w:rFonts w:ascii="仿宋" w:hAnsi="仿宋" w:eastAsia="仿宋" w:cs="仿宋"/>
          <w:color w:val="000000"/>
          <w:sz w:val="32"/>
          <w:szCs w:val="32"/>
        </w:rPr>
      </w:pPr>
    </w:p>
    <w:p>
      <w:pPr>
        <w:spacing w:after="0" w:line="540" w:lineRule="exact"/>
        <w:ind w:firstLine="640" w:firstLineChars="200"/>
        <w:rPr>
          <w:rFonts w:ascii="仿宋" w:hAnsi="仿宋" w:eastAsia="仿宋" w:cs="仿宋"/>
          <w:color w:val="000000"/>
          <w:szCs w:val="32"/>
        </w:rPr>
      </w:pPr>
      <w:bookmarkStart w:id="9" w:name="成交时间年份"/>
      <w:r>
        <w:rPr>
          <w:rFonts w:hint="eastAsia" w:ascii="仿宋" w:hAnsi="仿宋" w:eastAsia="仿宋" w:cs="仿宋"/>
          <w:color w:val="000000"/>
          <w:szCs w:val="32"/>
          <w:u w:val="single"/>
        </w:rPr>
        <w:t>（出让人）</w:t>
      </w:r>
      <w:r>
        <w:rPr>
          <w:rFonts w:hint="eastAsia" w:ascii="仿宋" w:hAnsi="仿宋" w:eastAsia="仿宋" w:cs="仿宋"/>
          <w:color w:val="000000"/>
          <w:szCs w:val="32"/>
        </w:rPr>
        <w:t>在202</w:t>
      </w:r>
      <w:bookmarkEnd w:id="9"/>
      <w:r>
        <w:rPr>
          <w:rFonts w:hint="eastAsia" w:ascii="仿宋" w:hAnsi="仿宋" w:eastAsia="仿宋" w:cs="仿宋"/>
          <w:color w:val="000000"/>
          <w:szCs w:val="32"/>
        </w:rPr>
        <w:t>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w:t>
      </w:r>
      <w:r>
        <w:rPr>
          <w:rFonts w:hint="eastAsia" w:ascii="仿宋" w:hAnsi="仿宋" w:eastAsia="仿宋" w:cs="仿宋"/>
          <w:bCs/>
          <w:color w:val="000000"/>
          <w:szCs w:val="32"/>
        </w:rPr>
        <w:t>的集体经营性建设用</w:t>
      </w:r>
      <w:r>
        <w:rPr>
          <w:rFonts w:hint="eastAsia" w:ascii="仿宋" w:hAnsi="仿宋" w:eastAsia="仿宋" w:cs="仿宋"/>
          <w:color w:val="000000"/>
          <w:szCs w:val="32"/>
        </w:rPr>
        <w:t>地使用权</w:t>
      </w:r>
      <w:bookmarkStart w:id="10" w:name="出让类型"/>
      <w:r>
        <w:rPr>
          <w:rFonts w:hint="eastAsia" w:ascii="仿宋" w:hAnsi="仿宋" w:eastAsia="仿宋" w:cs="仿宋"/>
          <w:color w:val="000000"/>
          <w:szCs w:val="32"/>
        </w:rPr>
        <w:t>挂牌</w:t>
      </w:r>
      <w:bookmarkEnd w:id="10"/>
      <w:r>
        <w:rPr>
          <w:rFonts w:hint="eastAsia" w:ascii="仿宋" w:hAnsi="仿宋" w:eastAsia="仿宋" w:cs="仿宋"/>
          <w:color w:val="000000"/>
          <w:szCs w:val="32"/>
        </w:rPr>
        <w:t>出让活动中，</w:t>
      </w:r>
      <w:r>
        <w:rPr>
          <w:rFonts w:hint="eastAsia" w:ascii="仿宋" w:hAnsi="仿宋" w:eastAsia="仿宋" w:cs="仿宋"/>
          <w:color w:val="000000"/>
          <w:szCs w:val="32"/>
          <w:u w:val="single"/>
        </w:rPr>
        <w:t>（竞得人）</w:t>
      </w:r>
      <w:r>
        <w:rPr>
          <w:rFonts w:hint="eastAsia" w:ascii="仿宋" w:hAnsi="仿宋" w:eastAsia="仿宋" w:cs="仿宋"/>
          <w:color w:val="000000"/>
          <w:szCs w:val="32"/>
        </w:rPr>
        <w:t>竞得编号</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地块的</w:t>
      </w:r>
      <w:r>
        <w:rPr>
          <w:rFonts w:hint="eastAsia" w:ascii="仿宋" w:hAnsi="仿宋" w:eastAsia="仿宋" w:cs="仿宋"/>
          <w:bCs/>
          <w:color w:val="000000"/>
          <w:szCs w:val="32"/>
        </w:rPr>
        <w:t>集体经营性建设用</w:t>
      </w:r>
      <w:r>
        <w:rPr>
          <w:rFonts w:hint="eastAsia" w:ascii="仿宋" w:hAnsi="仿宋" w:eastAsia="仿宋" w:cs="仿宋"/>
          <w:color w:val="000000"/>
          <w:szCs w:val="32"/>
        </w:rPr>
        <w:t>地使用权。现将有关事项确认如下：</w:t>
      </w:r>
    </w:p>
    <w:p>
      <w:pPr>
        <w:spacing w:after="0" w:line="54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该地块成交总价为人民币</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（大写）（￥</w:t>
      </w:r>
      <w:bookmarkStart w:id="11" w:name="成交总地价"/>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万元</w:t>
      </w:r>
      <w:bookmarkEnd w:id="11"/>
      <w:r>
        <w:rPr>
          <w:rFonts w:hint="eastAsia" w:ascii="仿宋" w:hAnsi="仿宋" w:eastAsia="仿宋" w:cs="仿宋"/>
          <w:color w:val="000000"/>
          <w:szCs w:val="32"/>
        </w:rPr>
        <w:t>）。</w:t>
      </w:r>
    </w:p>
    <w:p>
      <w:pPr>
        <w:spacing w:after="0" w:line="54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竞得人交纳的竞买保证金，自动转抵作受让地块的土地出让金。</w:t>
      </w:r>
      <w:r>
        <w:rPr>
          <w:rFonts w:hint="eastAsia" w:ascii="仿宋" w:hAnsi="仿宋" w:eastAsia="仿宋" w:cs="仿宋"/>
          <w:color w:val="000000"/>
          <w:szCs w:val="32"/>
          <w:u w:val="single"/>
        </w:rPr>
        <w:t>（竞得人）</w:t>
      </w:r>
      <w:r>
        <w:rPr>
          <w:rFonts w:hint="eastAsia" w:ascii="仿宋" w:hAnsi="仿宋" w:eastAsia="仿宋" w:cs="仿宋"/>
          <w:color w:val="000000"/>
          <w:szCs w:val="32"/>
        </w:rPr>
        <w:t>应当于2024年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日之前，持本《成交确认书》到</w:t>
      </w:r>
      <w:bookmarkStart w:id="12" w:name="拍卖地点2"/>
      <w:r>
        <w:rPr>
          <w:rFonts w:hint="eastAsia" w:ascii="仿宋" w:hAnsi="仿宋" w:eastAsia="仿宋" w:cs="仿宋"/>
          <w:color w:val="000000"/>
          <w:szCs w:val="32"/>
        </w:rPr>
        <w:t>莆田市荔城区自然资源局</w:t>
      </w:r>
      <w:bookmarkEnd w:id="12"/>
      <w:r>
        <w:rPr>
          <w:rFonts w:hint="eastAsia" w:ascii="仿宋" w:hAnsi="仿宋" w:eastAsia="仿宋" w:cs="仿宋"/>
          <w:color w:val="000000"/>
          <w:szCs w:val="32"/>
        </w:rPr>
        <w:t>与</w:t>
      </w:r>
      <w:r>
        <w:rPr>
          <w:rFonts w:hint="eastAsia" w:ascii="仿宋" w:hAnsi="仿宋" w:eastAsia="仿宋" w:cs="仿宋"/>
          <w:color w:val="000000"/>
          <w:szCs w:val="32"/>
          <w:u w:val="single"/>
        </w:rPr>
        <w:t>（出让人）</w:t>
      </w:r>
      <w:r>
        <w:rPr>
          <w:rFonts w:hint="eastAsia" w:ascii="仿宋" w:hAnsi="仿宋" w:eastAsia="仿宋" w:cs="仿宋"/>
          <w:color w:val="000000"/>
          <w:szCs w:val="32"/>
        </w:rPr>
        <w:t>签订《集体经营性建设用地使用权出让合同》，与莆田市荔城区人民政府</w:t>
      </w:r>
      <w:r>
        <w:rPr>
          <w:rFonts w:hint="eastAsia" w:ascii="仿宋" w:hAnsi="仿宋" w:eastAsia="仿宋" w:cs="仿宋"/>
          <w:color w:val="000000"/>
          <w:szCs w:val="32"/>
          <w:lang w:eastAsia="zh-CN"/>
        </w:rPr>
        <w:t>所在镇（街）</w:t>
      </w:r>
      <w:r>
        <w:rPr>
          <w:rFonts w:hint="eastAsia" w:ascii="仿宋" w:hAnsi="仿宋" w:eastAsia="仿宋" w:cs="仿宋"/>
          <w:color w:val="000000"/>
          <w:szCs w:val="32"/>
        </w:rPr>
        <w:t>签订《集体经营性建设用地使用权出让监管协议》。不按期签订《集体经营性建设用地使用权出让合同》的，视为竞得人放弃竞得资格，竞得人应承担相应法律责任。</w:t>
      </w:r>
    </w:p>
    <w:p>
      <w:pPr>
        <w:spacing w:after="0" w:line="54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本《成交确认书》一式</w:t>
      </w:r>
      <w:bookmarkStart w:id="13" w:name="成交确认书执存数"/>
      <w:r>
        <w:rPr>
          <w:rFonts w:hint="eastAsia" w:ascii="仿宋" w:hAnsi="仿宋" w:eastAsia="仿宋" w:cs="仿宋"/>
          <w:color w:val="000000"/>
          <w:szCs w:val="32"/>
        </w:rPr>
        <w:t>4</w:t>
      </w:r>
      <w:bookmarkEnd w:id="13"/>
      <w:r>
        <w:rPr>
          <w:rFonts w:hint="eastAsia" w:ascii="仿宋" w:hAnsi="仿宋" w:eastAsia="仿宋" w:cs="仿宋"/>
          <w:color w:val="000000"/>
          <w:szCs w:val="32"/>
        </w:rPr>
        <w:t>份，</w:t>
      </w:r>
      <w:bookmarkStart w:id="14" w:name="出让类型1"/>
      <w:r>
        <w:rPr>
          <w:rFonts w:hint="eastAsia" w:ascii="仿宋" w:hAnsi="仿宋" w:eastAsia="仿宋" w:cs="仿宋"/>
          <w:color w:val="000000"/>
          <w:szCs w:val="32"/>
        </w:rPr>
        <w:t>挂牌</w:t>
      </w:r>
      <w:bookmarkEnd w:id="14"/>
      <w:r>
        <w:rPr>
          <w:rFonts w:hint="eastAsia" w:ascii="仿宋" w:hAnsi="仿宋" w:eastAsia="仿宋" w:cs="仿宋"/>
          <w:color w:val="000000"/>
          <w:szCs w:val="32"/>
        </w:rPr>
        <w:t>人执</w:t>
      </w:r>
      <w:bookmarkStart w:id="15" w:name="拍卖人执数"/>
      <w:r>
        <w:rPr>
          <w:rFonts w:hint="eastAsia" w:ascii="仿宋" w:hAnsi="仿宋" w:eastAsia="仿宋" w:cs="仿宋"/>
          <w:color w:val="000000"/>
          <w:szCs w:val="32"/>
        </w:rPr>
        <w:t>1</w:t>
      </w:r>
      <w:bookmarkEnd w:id="15"/>
      <w:r>
        <w:rPr>
          <w:rFonts w:hint="eastAsia" w:ascii="仿宋" w:hAnsi="仿宋" w:eastAsia="仿宋" w:cs="仿宋"/>
          <w:color w:val="000000"/>
          <w:szCs w:val="32"/>
        </w:rPr>
        <w:t>份，出让人执</w:t>
      </w:r>
      <w:bookmarkStart w:id="16" w:name="出让人执数"/>
      <w:r>
        <w:rPr>
          <w:rFonts w:hint="eastAsia" w:ascii="仿宋" w:hAnsi="仿宋" w:eastAsia="仿宋" w:cs="仿宋"/>
          <w:color w:val="000000"/>
          <w:szCs w:val="32"/>
        </w:rPr>
        <w:t>1</w:t>
      </w:r>
      <w:bookmarkEnd w:id="16"/>
      <w:r>
        <w:rPr>
          <w:rFonts w:hint="eastAsia" w:ascii="仿宋" w:hAnsi="仿宋" w:eastAsia="仿宋" w:cs="仿宋"/>
          <w:color w:val="000000"/>
          <w:szCs w:val="32"/>
        </w:rPr>
        <w:t>份，竞得人执</w:t>
      </w:r>
      <w:bookmarkStart w:id="17" w:name="竞得人执数"/>
      <w:r>
        <w:rPr>
          <w:rFonts w:hint="eastAsia" w:ascii="仿宋" w:hAnsi="仿宋" w:eastAsia="仿宋" w:cs="仿宋"/>
          <w:color w:val="000000"/>
          <w:szCs w:val="32"/>
        </w:rPr>
        <w:t>2</w:t>
      </w:r>
      <w:bookmarkEnd w:id="17"/>
      <w:r>
        <w:rPr>
          <w:rFonts w:hint="eastAsia" w:ascii="仿宋" w:hAnsi="仿宋" w:eastAsia="仿宋" w:cs="仿宋"/>
          <w:color w:val="000000"/>
          <w:szCs w:val="32"/>
        </w:rPr>
        <w:t>份。</w:t>
      </w:r>
    </w:p>
    <w:p>
      <w:pPr>
        <w:spacing w:after="0" w:line="54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特此确认。</w:t>
      </w:r>
    </w:p>
    <w:p>
      <w:pPr>
        <w:pStyle w:val="6"/>
        <w:rPr>
          <w:rFonts w:ascii="仿宋" w:hAnsi="仿宋" w:eastAsia="仿宋" w:cs="仿宋"/>
          <w:color w:val="000000"/>
          <w:sz w:val="32"/>
          <w:szCs w:val="32"/>
        </w:rPr>
      </w:pPr>
    </w:p>
    <w:p>
      <w:pPr>
        <w:spacing w:after="0" w:line="540" w:lineRule="exact"/>
        <w:ind w:firstLine="640" w:firstLineChars="200"/>
        <w:rPr>
          <w:rFonts w:ascii="仿宋" w:hAnsi="仿宋" w:eastAsia="仿宋" w:cs="仿宋"/>
          <w:color w:val="000000"/>
          <w:szCs w:val="32"/>
          <w:u w:val="single"/>
        </w:rPr>
      </w:pPr>
      <w:r>
        <w:rPr>
          <w:rFonts w:hint="eastAsia" w:ascii="仿宋" w:hAnsi="仿宋" w:eastAsia="仿宋" w:cs="仿宋"/>
          <w:color w:val="000000"/>
          <w:szCs w:val="32"/>
        </w:rPr>
        <w:t xml:space="preserve">                    出让人：</w:t>
      </w:r>
      <w:r>
        <w:rPr>
          <w:rFonts w:hint="eastAsia" w:ascii="仿宋" w:hAnsi="仿宋" w:eastAsia="仿宋" w:cs="仿宋"/>
          <w:color w:val="000000"/>
          <w:szCs w:val="32"/>
          <w:u w:val="single"/>
        </w:rPr>
        <w:t>（出让人）</w:t>
      </w:r>
    </w:p>
    <w:p>
      <w:pPr>
        <w:spacing w:after="0" w:line="540" w:lineRule="exact"/>
        <w:ind w:firstLine="640" w:firstLineChars="200"/>
        <w:rPr>
          <w:rFonts w:ascii="仿宋" w:hAnsi="仿宋" w:eastAsia="仿宋" w:cs="仿宋"/>
          <w:color w:val="000000"/>
          <w:szCs w:val="32"/>
          <w:u w:val="single"/>
        </w:rPr>
      </w:pPr>
      <w:bookmarkStart w:id="18" w:name="出让类型2"/>
      <w:r>
        <w:rPr>
          <w:rFonts w:hint="eastAsia" w:ascii="仿宋" w:hAnsi="仿宋" w:eastAsia="仿宋" w:cs="仿宋"/>
          <w:color w:val="000000"/>
          <w:szCs w:val="32"/>
        </w:rPr>
        <w:t xml:space="preserve">                    挂牌</w:t>
      </w:r>
      <w:bookmarkEnd w:id="18"/>
      <w:r>
        <w:rPr>
          <w:rFonts w:hint="eastAsia" w:ascii="仿宋" w:hAnsi="仿宋" w:eastAsia="仿宋" w:cs="仿宋"/>
          <w:color w:val="000000"/>
          <w:szCs w:val="32"/>
        </w:rPr>
        <w:t>人：</w:t>
      </w:r>
      <w:bookmarkStart w:id="19" w:name="拍卖人"/>
      <w:r>
        <w:rPr>
          <w:rFonts w:hint="eastAsia" w:ascii="仿宋" w:hAnsi="仿宋" w:eastAsia="仿宋" w:cs="仿宋"/>
          <w:color w:val="000000"/>
          <w:szCs w:val="32"/>
          <w:u w:val="single"/>
        </w:rPr>
        <w:t>莆田市荔城区自然资源局</w:t>
      </w:r>
      <w:bookmarkEnd w:id="19"/>
    </w:p>
    <w:p>
      <w:pPr>
        <w:wordWrap w:val="0"/>
        <w:spacing w:after="0" w:line="540" w:lineRule="exact"/>
        <w:ind w:firstLine="640" w:firstLineChars="200"/>
        <w:jc w:val="left"/>
        <w:rPr>
          <w:rFonts w:ascii="仿宋_GB2312"/>
          <w:color w:val="000000"/>
          <w:sz w:val="24"/>
        </w:rPr>
      </w:pPr>
      <w:r>
        <w:rPr>
          <w:rFonts w:hint="eastAsia" w:ascii="仿宋" w:hAnsi="仿宋" w:eastAsia="仿宋" w:cs="仿宋"/>
          <w:color w:val="000000"/>
          <w:szCs w:val="32"/>
        </w:rPr>
        <w:t xml:space="preserve">                    竞得人：</w:t>
      </w:r>
      <w:r>
        <w:rPr>
          <w:rFonts w:hint="eastAsia" w:ascii="仿宋" w:hAnsi="仿宋" w:eastAsia="仿宋" w:cs="仿宋"/>
          <w:color w:val="000000"/>
          <w:szCs w:val="32"/>
          <w:u w:val="single"/>
        </w:rPr>
        <w:t>（竞得人）</w:t>
      </w:r>
      <w:r>
        <w:rPr>
          <w:rFonts w:hint="eastAsia" w:ascii="仿宋" w:hAnsi="仿宋" w:eastAsia="仿宋" w:cs="仿宋"/>
          <w:color w:val="000000"/>
          <w:szCs w:val="32"/>
        </w:rPr>
        <w:t xml:space="preserve">    </w:t>
      </w:r>
    </w:p>
    <w:p>
      <w:pPr>
        <w:spacing w:after="0" w:line="540" w:lineRule="exact"/>
        <w:jc w:val="center"/>
        <w:rPr>
          <w:rFonts w:ascii="仿宋" w:hAnsi="仿宋" w:eastAsia="仿宋" w:cs="仿宋"/>
          <w:color w:val="000000"/>
          <w:szCs w:val="32"/>
        </w:rPr>
      </w:pPr>
      <w:bookmarkStart w:id="20" w:name="发出时间年份"/>
      <w:r>
        <w:rPr>
          <w:rFonts w:hint="eastAsia" w:ascii="仿宋" w:hAnsi="仿宋" w:eastAsia="仿宋" w:cs="仿宋"/>
          <w:color w:val="000000"/>
          <w:szCs w:val="32"/>
        </w:rPr>
        <w:t xml:space="preserve">                        202</w:t>
      </w:r>
      <w:bookmarkEnd w:id="20"/>
      <w:r>
        <w:rPr>
          <w:rFonts w:hint="eastAsia" w:ascii="仿宋" w:hAnsi="仿宋" w:eastAsia="仿宋" w:cs="仿宋"/>
          <w:color w:val="000000"/>
          <w:szCs w:val="32"/>
        </w:rPr>
        <w:t>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w:t>
      </w:r>
    </w:p>
    <w:p>
      <w:pPr>
        <w:pStyle w:val="6"/>
        <w:rPr>
          <w:rFonts w:ascii="楷体" w:hAnsi="楷体" w:eastAsia="楷体" w:cs="楷体"/>
          <w:color w:val="000000"/>
          <w:szCs w:val="32"/>
        </w:rPr>
      </w:pPr>
      <w:r>
        <w:br w:type="page"/>
      </w:r>
      <w:r>
        <w:rPr>
          <w:rFonts w:hint="eastAsia" w:ascii="黑体" w:hAnsi="黑体" w:eastAsia="黑体"/>
          <w:color w:val="000000"/>
          <w:sz w:val="32"/>
          <w:szCs w:val="32"/>
        </w:rPr>
        <w:t>附件</w:t>
      </w:r>
      <w:r>
        <w:rPr>
          <w:rFonts w:hint="eastAsia" w:ascii="仿宋" w:hAnsi="仿宋" w:eastAsia="仿宋" w:cs="仿宋"/>
          <w:b/>
          <w:bCs/>
          <w:color w:val="000000"/>
          <w:sz w:val="32"/>
          <w:szCs w:val="32"/>
        </w:rPr>
        <w:t>5</w:t>
      </w:r>
    </w:p>
    <w:p>
      <w:pPr>
        <w:jc w:val="left"/>
        <w:rPr>
          <w:rFonts w:ascii="楷体" w:hAnsi="楷体" w:eastAsia="楷体" w:cs="楷体"/>
          <w:color w:val="000000"/>
          <w:szCs w:val="32"/>
        </w:rPr>
      </w:pPr>
      <w:r>
        <w:rPr>
          <w:rFonts w:hint="eastAsia" w:ascii="楷体" w:hAnsi="楷体" w:eastAsia="楷体" w:cs="楷体"/>
          <w:color w:val="000000"/>
          <w:szCs w:val="32"/>
        </w:rPr>
        <w:t>GF-2023-2608</w:t>
      </w:r>
    </w:p>
    <w:p>
      <w:pPr>
        <w:spacing w:afterLines="50"/>
        <w:ind w:firstLine="2560" w:firstLineChars="800"/>
        <w:rPr>
          <w:color w:val="000000"/>
          <w:szCs w:val="32"/>
          <w:u w:val="single"/>
        </w:rPr>
      </w:pPr>
      <w:r>
        <w:rPr>
          <w:rFonts w:hint="eastAsia"/>
          <w:color w:val="000000"/>
          <w:szCs w:val="32"/>
        </w:rPr>
        <w:t xml:space="preserve">                </w:t>
      </w:r>
    </w:p>
    <w:p>
      <w:pPr>
        <w:spacing w:after="0" w:line="900" w:lineRule="exact"/>
        <w:jc w:val="center"/>
        <w:rPr>
          <w:rFonts w:ascii="方正小标宋简体" w:hAnsi="方正小标宋简体" w:eastAsia="方正小标宋简体" w:cs="方正小标宋简体"/>
          <w:color w:val="000000"/>
          <w:sz w:val="64"/>
          <w:szCs w:val="64"/>
        </w:rPr>
      </w:pPr>
      <w:r>
        <w:rPr>
          <w:rFonts w:hint="eastAsia" w:ascii="方正小标宋简体" w:hAnsi="方正小标宋简体" w:eastAsia="方正小标宋简体" w:cs="方正小标宋简体"/>
          <w:color w:val="000000"/>
          <w:sz w:val="64"/>
          <w:szCs w:val="64"/>
        </w:rPr>
        <w:t>《集体经营性建设用地使用权</w:t>
      </w:r>
    </w:p>
    <w:p>
      <w:pPr>
        <w:spacing w:after="0" w:line="900" w:lineRule="exact"/>
        <w:jc w:val="center"/>
        <w:rPr>
          <w:rFonts w:ascii="方正小标宋简体" w:hAnsi="方正小标宋简体" w:eastAsia="方正小标宋简体" w:cs="方正小标宋简体"/>
          <w:color w:val="000000"/>
          <w:sz w:val="64"/>
          <w:szCs w:val="64"/>
        </w:rPr>
      </w:pPr>
      <w:r>
        <w:rPr>
          <w:rFonts w:hint="eastAsia" w:ascii="方正小标宋简体" w:hAnsi="方正小标宋简体" w:eastAsia="方正小标宋简体" w:cs="方正小标宋简体"/>
          <w:color w:val="000000"/>
          <w:sz w:val="64"/>
          <w:szCs w:val="64"/>
        </w:rPr>
        <w:t>出让合同》示范文本</w:t>
      </w:r>
    </w:p>
    <w:p>
      <w:pPr>
        <w:spacing w:after="0" w:line="900" w:lineRule="exact"/>
        <w:jc w:val="center"/>
        <w:rPr>
          <w:rFonts w:ascii="楷体" w:hAnsi="楷体" w:eastAsia="楷体" w:cs="楷体"/>
          <w:color w:val="000000"/>
          <w:sz w:val="44"/>
          <w:szCs w:val="44"/>
        </w:rPr>
      </w:pPr>
      <w:r>
        <w:rPr>
          <w:rFonts w:hint="eastAsia" w:ascii="楷体" w:hAnsi="楷体" w:eastAsia="楷体" w:cs="楷体"/>
          <w:color w:val="000000"/>
          <w:sz w:val="44"/>
          <w:szCs w:val="44"/>
        </w:rPr>
        <w:t>（试点试行）</w:t>
      </w:r>
    </w:p>
    <w:p>
      <w:pPr>
        <w:jc w:val="center"/>
        <w:rPr>
          <w:rFonts w:eastAsia="黑体"/>
          <w:color w:val="000000"/>
          <w:sz w:val="52"/>
          <w:szCs w:val="52"/>
        </w:rPr>
      </w:pPr>
    </w:p>
    <w:p>
      <w:pPr>
        <w:jc w:val="center"/>
        <w:rPr>
          <w:rFonts w:eastAsia="黑体"/>
          <w:color w:val="000000"/>
          <w:sz w:val="52"/>
          <w:szCs w:val="52"/>
        </w:rPr>
      </w:pPr>
    </w:p>
    <w:p>
      <w:pPr>
        <w:jc w:val="center"/>
        <w:rPr>
          <w:rFonts w:eastAsia="黑体"/>
          <w:color w:val="000000"/>
          <w:sz w:val="52"/>
          <w:szCs w:val="52"/>
        </w:rPr>
      </w:pPr>
    </w:p>
    <w:p>
      <w:pPr>
        <w:pStyle w:val="6"/>
      </w:pPr>
    </w:p>
    <w:p/>
    <w:p>
      <w:pPr>
        <w:pStyle w:val="12"/>
        <w:rPr>
          <w:rFonts w:hAnsi="宋体"/>
          <w:color w:val="000000"/>
        </w:rPr>
      </w:pPr>
    </w:p>
    <w:tbl>
      <w:tblPr>
        <w:tblpPr w:leftFromText="180" w:rightFromText="180" w:vertAnchor="text" w:horzAnchor="page" w:tblpXSpec="center" w:tblpY="1454"/>
        <w:tblOverlap w:val="never"/>
        <w:tblW w:w="7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90"/>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690" w:type="dxa"/>
            <w:tcBorders>
              <w:tl2br w:val="nil"/>
              <w:tr2bl w:val="nil"/>
            </w:tcBorders>
            <w:vAlign w:val="bottom"/>
          </w:tcPr>
          <w:p>
            <w:pPr>
              <w:pStyle w:val="6"/>
              <w:spacing w:before="0" w:after="0" w:line="520" w:lineRule="exact"/>
              <w:jc w:val="distribute"/>
              <w:rPr>
                <w:color w:val="000000"/>
              </w:rPr>
            </w:pPr>
            <w:r>
              <w:rPr>
                <w:rFonts w:hint="eastAsia" w:ascii="楷体" w:hAnsi="楷体" w:eastAsia="楷体" w:cs="楷体"/>
                <w:color w:val="000000"/>
                <w:sz w:val="38"/>
                <w:szCs w:val="38"/>
              </w:rPr>
              <w:t>中华人民共和国自然资源部</w:t>
            </w:r>
          </w:p>
        </w:tc>
        <w:tc>
          <w:tcPr>
            <w:tcW w:w="1285" w:type="dxa"/>
            <w:vMerge w:val="restart"/>
            <w:tcBorders>
              <w:tl2br w:val="nil"/>
              <w:tr2bl w:val="nil"/>
            </w:tcBorders>
            <w:vAlign w:val="bottom"/>
          </w:tcPr>
          <w:p>
            <w:pPr>
              <w:widowControl w:val="0"/>
              <w:wordWrap/>
              <w:adjustRightInd/>
              <w:snapToGrid/>
              <w:spacing w:before="0" w:after="160" w:line="800" w:lineRule="exact"/>
              <w:ind w:left="0" w:leftChars="0" w:right="0" w:firstLine="0" w:firstLineChars="0"/>
              <w:jc w:val="left"/>
              <w:textAlignment w:val="auto"/>
              <w:outlineLvl w:val="9"/>
              <w:rPr>
                <w:color w:val="000000"/>
              </w:rPr>
            </w:pPr>
            <w:r>
              <w:rPr>
                <w:rFonts w:hint="eastAsia" w:ascii="楷体" w:hAnsi="楷体" w:eastAsia="楷体" w:cs="楷体"/>
                <w:b/>
                <w:bCs/>
                <w:color w:val="000000"/>
                <w:sz w:val="52"/>
                <w:szCs w:val="44"/>
              </w:rPr>
              <w:t>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690" w:type="dxa"/>
            <w:tcBorders>
              <w:tl2br w:val="nil"/>
              <w:tr2bl w:val="nil"/>
            </w:tcBorders>
            <w:vAlign w:val="bottom"/>
          </w:tcPr>
          <w:p>
            <w:pPr>
              <w:pStyle w:val="26"/>
              <w:spacing w:after="0" w:line="520" w:lineRule="exact"/>
              <w:jc w:val="distribute"/>
              <w:rPr>
                <w:rFonts w:eastAsia="等线"/>
                <w:color w:val="000000"/>
              </w:rPr>
            </w:pPr>
            <w:r>
              <w:rPr>
                <w:rFonts w:hint="eastAsia" w:ascii="楷体" w:hAnsi="楷体" w:eastAsia="楷体" w:cs="楷体"/>
                <w:color w:val="000000"/>
                <w:sz w:val="38"/>
                <w:szCs w:val="38"/>
              </w:rPr>
              <w:t>中华人民共和国国家市场监督管理总局</w:t>
            </w:r>
          </w:p>
        </w:tc>
        <w:tc>
          <w:tcPr>
            <w:tcW w:w="1285" w:type="dxa"/>
            <w:vMerge w:val="continue"/>
            <w:tcBorders>
              <w:tl2br w:val="nil"/>
              <w:tr2bl w:val="nil"/>
            </w:tcBorders>
            <w:vAlign w:val="bottom"/>
          </w:tcPr>
          <w:p>
            <w:pPr>
              <w:pStyle w:val="6"/>
              <w:rPr>
                <w:color w:val="000000"/>
              </w:rPr>
            </w:pPr>
          </w:p>
        </w:tc>
      </w:tr>
    </w:tbl>
    <w:p>
      <w:pPr>
        <w:pStyle w:val="12"/>
        <w:jc w:val="right"/>
        <w:rPr>
          <w:rFonts w:hAnsi="宋体"/>
          <w:color w:val="000000"/>
        </w:rPr>
        <w:sectPr>
          <w:headerReference r:id="rId6" w:type="first"/>
          <w:footerReference r:id="rId9" w:type="first"/>
          <w:headerReference r:id="rId4" w:type="default"/>
          <w:footerReference r:id="rId7" w:type="default"/>
          <w:headerReference r:id="rId5" w:type="even"/>
          <w:footerReference r:id="rId8" w:type="even"/>
          <w:pgSz w:w="11906" w:h="16838"/>
          <w:pgMar w:top="1871" w:right="1587" w:bottom="1871" w:left="1587" w:header="851" w:footer="1417" w:gutter="0"/>
          <w:pgBorders>
            <w:top w:val="none" w:color="auto" w:sz="0" w:space="0"/>
            <w:left w:val="none" w:color="auto" w:sz="0" w:space="0"/>
            <w:bottom w:val="none" w:color="auto" w:sz="0" w:space="0"/>
            <w:right w:val="none" w:color="auto" w:sz="0" w:space="0"/>
          </w:pgBorders>
          <w:cols w:space="720" w:num="1"/>
          <w:docGrid w:type="lines" w:linePitch="437" w:charSpace="0"/>
        </w:sectPr>
      </w:pPr>
    </w:p>
    <w:p>
      <w:pPr>
        <w:spacing w:after="0" w:line="60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集体经营性建设用地使用权出让合同使用说明</w:t>
      </w:r>
    </w:p>
    <w:p>
      <w:pPr>
        <w:spacing w:after="0" w:line="560" w:lineRule="exact"/>
        <w:ind w:firstLine="640" w:firstLineChars="200"/>
        <w:rPr>
          <w:rFonts w:ascii="仿宋" w:hAnsi="仿宋" w:eastAsia="仿宋" w:cs="仿宋"/>
          <w:color w:val="000000"/>
          <w:szCs w:val="32"/>
        </w:rPr>
      </w:pP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集体经营性建设用地使用权出让合同》包括合同正文、附件1（出让宗地平面界址图）、附件2（出让宗地竖向界限）、附件3（市（县）自然资源主管部门确定的出让宗地规划条件）、附件4（市（县）发展改革主管部门确定的宗地产业准入要求）和附件5（市（县）生态环境主管部门确定的宗地生态环境保护要求）。</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二、本合同中的出让人为出让农村集体经营性建设用地使用权的农村集体经济组织。未设立村集体经济组织的，村民委员会可以依法代行村集体经济组织的职能。</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三、出让人出让的土地必须是集体经营性建设用地。本合同以宗地为单位进行填写。宗地是指土地权属界线封闭的地块或者空间。</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四、本合同为示范文本，由自然资源部与国家市场监督管理总局联合制定。合同签订前，双方当事人应当仔细阅读本合同内容，特别是其中具有选择性、补充性、填充性、修改性的内容；对合同中的专业用词理解不一致的，可向当地自然资源主管部门咨询。</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五、本合同文本中相关条款后留有空白行，供双方自行约定或者补充约定，约定内容应符合国家有关政策规定。合同双方当事人依法可以对文本条款的内容进行修改、增补或者删减。合同签订生效后，未被修改的文本印刷文字视为双方同意内容。</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六、合同双方当事人应当结合具体情况选择本合同条款中所提供的选择项，同意的在选择项前的□打√，不同意的打×。</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七、本合同第五条中，出让宗地空间范围是以平面界址点所构成的垂直面和上、下界限高程平面封闭形成的空间范围。出让宗地的平面界限按宗地的界址点坐标填写；出让宗地的竖向界限，可以按照1985年国家高程系统为起算基点填写，也可以按照各地高程系统为起算基点填写。高差是垂直方向从起算面到终止面的距离。如：出让宗地的竖向界限以标高+60米（1985年国家高程系统）为上界限，以标高－10米（1985年国家高程系统）为下界限，高差为70米。</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八、本合同第六条中，宗地用途按《国土空间调查、规划、用途管制用地用海分类指南（试行）》相关规定填写。依据规划用途可以划分为不同宗地的，应先行分割成不同的宗地，再按宗地出让。属于同一宗地中包含两种或两种以上不同用途的，应当写明各类具体土地用途的出让年期及各类具体用途土地占宗地的面积比例和空间范围。</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九、本合同第八条中，土地条件按照双方实际约定选择和填写。</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十、本合同第十六条中，受让宗地用于工业项目建设的，可参照国家或省（区、市）有关规定执行。新出台的法律政策对工业项目容积率、建筑密度等有规定的，签订出让合同时，应当按照最新政策规定填写。</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十一、本合同第二十一条中，国家新出台的法律政策对改</w:t>
      </w:r>
      <w:r>
        <w:rPr>
          <w:rFonts w:hint="eastAsia" w:ascii="仿宋" w:hAnsi="仿宋" w:eastAsia="仿宋" w:cs="仿宋"/>
          <w:color w:val="000000"/>
          <w:spacing w:val="-6"/>
          <w:szCs w:val="32"/>
        </w:rPr>
        <w:t>变土地用途有规定的，签订出让合同时，应当按照最新规定填写。</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十二、交易双方领取合同样本，互约条款后，在市（县）人民政府自然资源主管部门见证下正式签订合同，并现场拍照。</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十三、以出租等方式供应集体经营性建设用地使用权的，参照本合同示范文本执行。</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十四、本合同示范文本在入市试点地区试行。</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十五、本合同由省、自治区、直辖市自然资源主管部门统一配置编号。</w:t>
      </w:r>
    </w:p>
    <w:p>
      <w:pPr>
        <w:jc w:val="left"/>
        <w:rPr>
          <w:rFonts w:eastAsia="黑体"/>
          <w:color w:val="000000"/>
          <w:sz w:val="36"/>
        </w:rPr>
      </w:pPr>
      <w:r>
        <w:rPr>
          <w:rFonts w:hint="eastAsia" w:cs="仿宋_GB2312"/>
          <w:color w:val="000000"/>
          <w:szCs w:val="32"/>
        </w:rPr>
        <w:t xml:space="preserve">    </w:t>
      </w:r>
    </w:p>
    <w:p>
      <w:pPr>
        <w:pStyle w:val="12"/>
        <w:jc w:val="right"/>
        <w:rPr>
          <w:rFonts w:hAnsi="宋体"/>
          <w:color w:val="000000"/>
        </w:rPr>
        <w:sectPr>
          <w:pgSz w:w="11906" w:h="16838"/>
          <w:pgMar w:top="1871" w:right="1587" w:bottom="1871" w:left="1587" w:header="851" w:footer="1417" w:gutter="0"/>
          <w:pgBorders>
            <w:top w:val="none" w:color="auto" w:sz="0" w:space="0"/>
            <w:left w:val="none" w:color="auto" w:sz="0" w:space="0"/>
            <w:bottom w:val="none" w:color="auto" w:sz="0" w:space="0"/>
            <w:right w:val="none" w:color="auto" w:sz="0" w:space="0"/>
          </w:pgBorders>
          <w:cols w:space="720" w:num="1"/>
          <w:docGrid w:type="lines" w:linePitch="437" w:charSpace="0"/>
        </w:sectPr>
      </w:pPr>
    </w:p>
    <w:p>
      <w:pPr>
        <w:pStyle w:val="12"/>
        <w:wordWrap w:val="0"/>
        <w:spacing w:after="0" w:line="590" w:lineRule="exact"/>
        <w:jc w:val="right"/>
        <w:rPr>
          <w:rFonts w:ascii="仿宋" w:hAnsi="仿宋" w:eastAsia="仿宋" w:cs="仿宋"/>
          <w:color w:val="000000"/>
          <w:u w:val="single"/>
        </w:rPr>
      </w:pPr>
      <w:r>
        <w:rPr>
          <w:rFonts w:hint="eastAsia" w:ascii="仿宋" w:hAnsi="仿宋" w:eastAsia="仿宋" w:cs="仿宋"/>
          <w:color w:val="000000"/>
        </w:rPr>
        <w:t>合同编号：</w:t>
      </w:r>
      <w:r>
        <w:rPr>
          <w:rFonts w:hint="eastAsia" w:ascii="仿宋" w:hAnsi="仿宋" w:eastAsia="仿宋" w:cs="仿宋"/>
          <w:color w:val="000000"/>
          <w:u w:val="single"/>
        </w:rPr>
        <w:t xml:space="preserve">           </w:t>
      </w:r>
    </w:p>
    <w:p>
      <w:pPr>
        <w:pStyle w:val="12"/>
        <w:spacing w:after="0" w:line="590" w:lineRule="exact"/>
        <w:jc w:val="right"/>
        <w:rPr>
          <w:rFonts w:ascii="仿宋" w:hAnsi="仿宋" w:eastAsia="仿宋" w:cs="仿宋"/>
          <w:color w:val="000000"/>
          <w:u w:val="single"/>
        </w:rPr>
      </w:pPr>
    </w:p>
    <w:p>
      <w:pPr>
        <w:spacing w:after="0" w:line="59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集体经营性建设用地使用权出让合同</w:t>
      </w:r>
    </w:p>
    <w:p>
      <w:pPr>
        <w:spacing w:after="0" w:line="500" w:lineRule="exact"/>
        <w:ind w:firstLine="640" w:firstLineChars="200"/>
        <w:rPr>
          <w:rFonts w:ascii="仿宋" w:hAnsi="仿宋" w:eastAsia="仿宋" w:cs="仿宋"/>
          <w:color w:val="000000"/>
          <w:szCs w:val="32"/>
        </w:rPr>
      </w:pPr>
    </w:p>
    <w:p>
      <w:pPr>
        <w:spacing w:after="0" w:line="50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本合同双方当事人：</w:t>
      </w:r>
    </w:p>
    <w:p>
      <w:pPr>
        <w:adjustRightInd w:val="0"/>
        <w:spacing w:after="0" w:line="500" w:lineRule="exact"/>
        <w:ind w:firstLine="582" w:firstLineChars="200"/>
        <w:jc w:val="left"/>
        <w:rPr>
          <w:rFonts w:ascii="仿宋" w:hAnsi="仿宋" w:eastAsia="仿宋" w:cs="仿宋"/>
          <w:color w:val="000000"/>
          <w:szCs w:val="32"/>
        </w:rPr>
      </w:pPr>
      <w:r>
        <w:rPr>
          <w:rFonts w:hint="eastAsia" w:ascii="仿宋" w:hAnsi="仿宋" w:eastAsia="仿宋" w:cs="仿宋"/>
          <w:color w:val="000000"/>
          <w:w w:val="91"/>
          <w:szCs w:val="32"/>
        </w:rPr>
        <w:t>出让人：</w:t>
      </w:r>
      <w:r>
        <w:rPr>
          <w:rFonts w:hint="eastAsia" w:ascii="仿宋" w:hAnsi="仿宋" w:eastAsia="仿宋" w:cs="仿宋"/>
          <w:color w:val="000000"/>
          <w:w w:val="91"/>
          <w:szCs w:val="32"/>
          <w:u w:val="single"/>
        </w:rPr>
        <w:t xml:space="preserve">                                               </w:t>
      </w:r>
      <w:r>
        <w:rPr>
          <w:rFonts w:hint="eastAsia" w:ascii="仿宋" w:hAnsi="仿宋" w:eastAsia="仿宋" w:cs="仿宋"/>
          <w:color w:val="000000"/>
          <w:szCs w:val="32"/>
        </w:rPr>
        <w:t>；</w:t>
      </w:r>
    </w:p>
    <w:p>
      <w:pPr>
        <w:pStyle w:val="6"/>
        <w:spacing w:before="0" w:after="0"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统一社会信用代码：</w:t>
      </w:r>
      <w:r>
        <w:rPr>
          <w:rFonts w:hint="eastAsia" w:ascii="仿宋" w:hAnsi="仿宋" w:eastAsia="仿宋" w:cs="仿宋"/>
          <w:bCs/>
          <w:color w:val="000000"/>
          <w:w w:val="91"/>
          <w:sz w:val="32"/>
          <w:szCs w:val="32"/>
          <w:u w:val="single"/>
        </w:rPr>
        <w:t xml:space="preserve">                                   </w:t>
      </w:r>
      <w:r>
        <w:rPr>
          <w:rFonts w:hint="eastAsia" w:ascii="仿宋" w:hAnsi="仿宋" w:eastAsia="仿宋" w:cs="仿宋"/>
          <w:bCs/>
          <w:color w:val="000000"/>
          <w:sz w:val="32"/>
          <w:szCs w:val="32"/>
        </w:rPr>
        <w:t>；</w:t>
      </w:r>
    </w:p>
    <w:p>
      <w:pPr>
        <w:pStyle w:val="26"/>
        <w:spacing w:after="0" w:line="500" w:lineRule="exact"/>
        <w:ind w:firstLine="582" w:firstLineChars="200"/>
        <w:rPr>
          <w:rFonts w:ascii="仿宋" w:hAnsi="仿宋" w:eastAsia="仿宋" w:cs="仿宋"/>
          <w:color w:val="000000"/>
          <w:kern w:val="2"/>
          <w:sz w:val="32"/>
          <w:szCs w:val="32"/>
        </w:rPr>
      </w:pPr>
      <w:r>
        <w:rPr>
          <w:rFonts w:hint="eastAsia" w:ascii="仿宋" w:hAnsi="仿宋" w:eastAsia="仿宋" w:cs="仿宋"/>
          <w:color w:val="000000"/>
          <w:w w:val="91"/>
          <w:sz w:val="32"/>
          <w:szCs w:val="32"/>
        </w:rPr>
        <w:t>法定代表人：</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582" w:firstLineChars="200"/>
        <w:rPr>
          <w:rFonts w:ascii="仿宋" w:hAnsi="仿宋" w:eastAsia="仿宋" w:cs="仿宋"/>
          <w:color w:val="000000"/>
          <w:kern w:val="2"/>
          <w:sz w:val="32"/>
          <w:szCs w:val="32"/>
        </w:rPr>
      </w:pPr>
      <w:r>
        <w:rPr>
          <w:rFonts w:hint="eastAsia" w:ascii="仿宋" w:hAnsi="仿宋" w:eastAsia="仿宋" w:cs="仿宋"/>
          <w:color w:val="000000"/>
          <w:w w:val="91"/>
          <w:sz w:val="32"/>
          <w:szCs w:val="32"/>
        </w:rPr>
        <w:t>委托代理人：</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582" w:firstLineChars="200"/>
        <w:rPr>
          <w:rFonts w:ascii="仿宋" w:hAnsi="仿宋" w:eastAsia="仿宋" w:cs="仿宋"/>
          <w:color w:val="000000"/>
          <w:kern w:val="2"/>
          <w:sz w:val="32"/>
          <w:szCs w:val="32"/>
        </w:rPr>
      </w:pPr>
      <w:r>
        <w:rPr>
          <w:rFonts w:hint="eastAsia" w:ascii="仿宋" w:hAnsi="仿宋" w:eastAsia="仿宋" w:cs="仿宋"/>
          <w:color w:val="000000"/>
          <w:w w:val="91"/>
          <w:sz w:val="32"/>
          <w:szCs w:val="32"/>
        </w:rPr>
        <w:t>联系地址：</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r>
        <w:rPr>
          <w:rFonts w:hint="eastAsia" w:ascii="仿宋" w:hAnsi="仿宋" w:eastAsia="仿宋" w:cs="仿宋"/>
          <w:color w:val="000000"/>
          <w:w w:val="91"/>
          <w:sz w:val="32"/>
          <w:szCs w:val="32"/>
        </w:rPr>
        <w:t>联系电话：</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582" w:firstLineChars="200"/>
        <w:rPr>
          <w:rFonts w:ascii="仿宋" w:hAnsi="仿宋" w:eastAsia="仿宋" w:cs="仿宋"/>
          <w:color w:val="000000"/>
          <w:kern w:val="2"/>
          <w:sz w:val="32"/>
          <w:szCs w:val="32"/>
        </w:rPr>
      </w:pPr>
      <w:r>
        <w:rPr>
          <w:rFonts w:hint="eastAsia" w:ascii="仿宋" w:hAnsi="仿宋" w:eastAsia="仿宋" w:cs="仿宋"/>
          <w:color w:val="000000"/>
          <w:w w:val="91"/>
          <w:sz w:val="32"/>
          <w:szCs w:val="32"/>
        </w:rPr>
        <w:t>开户银行：</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582" w:firstLineChars="200"/>
        <w:rPr>
          <w:rFonts w:ascii="仿宋" w:hAnsi="仿宋" w:eastAsia="仿宋" w:cs="仿宋"/>
          <w:color w:val="000000"/>
          <w:sz w:val="32"/>
          <w:szCs w:val="32"/>
        </w:rPr>
      </w:pPr>
      <w:r>
        <w:rPr>
          <w:rFonts w:hint="eastAsia" w:ascii="仿宋" w:hAnsi="仿宋" w:eastAsia="仿宋" w:cs="仿宋"/>
          <w:color w:val="000000"/>
          <w:w w:val="91"/>
          <w:sz w:val="32"/>
          <w:szCs w:val="32"/>
        </w:rPr>
        <w:t>账号：</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640" w:firstLineChars="200"/>
        <w:rPr>
          <w:rFonts w:ascii="仿宋" w:hAnsi="仿宋" w:eastAsia="仿宋" w:cs="仿宋"/>
          <w:color w:val="000000"/>
          <w:sz w:val="32"/>
          <w:szCs w:val="32"/>
        </w:rPr>
      </w:pPr>
    </w:p>
    <w:p>
      <w:pPr>
        <w:pStyle w:val="26"/>
        <w:spacing w:after="0" w:line="500" w:lineRule="exact"/>
        <w:ind w:firstLine="582" w:firstLineChars="200"/>
        <w:rPr>
          <w:rFonts w:ascii="仿宋" w:hAnsi="仿宋" w:eastAsia="仿宋" w:cs="仿宋"/>
          <w:color w:val="000000"/>
          <w:sz w:val="32"/>
          <w:szCs w:val="32"/>
        </w:rPr>
      </w:pPr>
      <w:r>
        <w:rPr>
          <w:rFonts w:hint="eastAsia" w:ascii="仿宋" w:hAnsi="仿宋" w:eastAsia="仿宋" w:cs="仿宋"/>
          <w:color w:val="000000"/>
          <w:w w:val="91"/>
          <w:sz w:val="32"/>
          <w:szCs w:val="32"/>
        </w:rPr>
        <w:t>受让人：</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sz w:val="32"/>
          <w:szCs w:val="32"/>
        </w:rPr>
        <w:t>；</w:t>
      </w:r>
    </w:p>
    <w:p>
      <w:pPr>
        <w:pStyle w:val="26"/>
        <w:spacing w:after="0" w:line="50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640" w:firstLineChars="200"/>
        <w:rPr>
          <w:rFonts w:ascii="仿宋" w:hAnsi="仿宋" w:eastAsia="仿宋" w:cs="仿宋"/>
          <w:color w:val="000000"/>
          <w:w w:val="91"/>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582" w:firstLineChars="200"/>
        <w:rPr>
          <w:rFonts w:ascii="仿宋" w:hAnsi="仿宋" w:eastAsia="仿宋" w:cs="仿宋"/>
          <w:color w:val="000000"/>
          <w:w w:val="91"/>
          <w:sz w:val="32"/>
          <w:szCs w:val="32"/>
        </w:rPr>
      </w:pPr>
      <w:r>
        <w:rPr>
          <w:rFonts w:hint="eastAsia" w:ascii="仿宋" w:hAnsi="仿宋" w:eastAsia="仿宋" w:cs="仿宋"/>
          <w:color w:val="000000"/>
          <w:w w:val="91"/>
          <w:sz w:val="32"/>
          <w:szCs w:val="32"/>
        </w:rPr>
        <w:t>委托代理人：</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w w:val="91"/>
          <w:sz w:val="32"/>
          <w:szCs w:val="32"/>
        </w:rPr>
        <w:t>；</w:t>
      </w:r>
    </w:p>
    <w:p>
      <w:pPr>
        <w:pStyle w:val="26"/>
        <w:spacing w:after="0" w:line="50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640" w:firstLineChars="200"/>
        <w:rPr>
          <w:rFonts w:ascii="仿宋" w:hAnsi="仿宋" w:eastAsia="仿宋" w:cs="仿宋"/>
          <w:color w:val="000000"/>
          <w:w w:val="91"/>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582" w:firstLineChars="200"/>
        <w:rPr>
          <w:rFonts w:ascii="仿宋" w:hAnsi="仿宋" w:eastAsia="仿宋" w:cs="仿宋"/>
          <w:color w:val="000000"/>
          <w:kern w:val="2"/>
          <w:sz w:val="32"/>
          <w:szCs w:val="32"/>
        </w:rPr>
      </w:pPr>
      <w:r>
        <w:rPr>
          <w:rFonts w:hint="eastAsia" w:ascii="仿宋" w:hAnsi="仿宋" w:eastAsia="仿宋" w:cs="仿宋"/>
          <w:color w:val="000000"/>
          <w:w w:val="91"/>
          <w:sz w:val="32"/>
          <w:szCs w:val="32"/>
        </w:rPr>
        <w:t>联系地址：</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r>
        <w:rPr>
          <w:rFonts w:hint="eastAsia" w:ascii="仿宋" w:hAnsi="仿宋" w:eastAsia="仿宋" w:cs="仿宋"/>
          <w:color w:val="000000"/>
          <w:w w:val="91"/>
          <w:sz w:val="32"/>
          <w:szCs w:val="32"/>
        </w:rPr>
        <w:t>联系电话：</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582" w:firstLineChars="200"/>
        <w:rPr>
          <w:rFonts w:ascii="仿宋" w:hAnsi="仿宋" w:eastAsia="仿宋" w:cs="仿宋"/>
          <w:color w:val="000000"/>
          <w:kern w:val="2"/>
          <w:sz w:val="32"/>
          <w:szCs w:val="32"/>
        </w:rPr>
      </w:pPr>
      <w:r>
        <w:rPr>
          <w:rFonts w:hint="eastAsia" w:ascii="仿宋" w:hAnsi="仿宋" w:eastAsia="仿宋" w:cs="仿宋"/>
          <w:color w:val="000000"/>
          <w:w w:val="91"/>
          <w:sz w:val="32"/>
          <w:szCs w:val="32"/>
        </w:rPr>
        <w:t>开户银行：</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pStyle w:val="26"/>
        <w:spacing w:after="0" w:line="500" w:lineRule="exact"/>
        <w:ind w:firstLine="582" w:firstLineChars="200"/>
        <w:rPr>
          <w:rFonts w:ascii="仿宋" w:hAnsi="仿宋" w:eastAsia="仿宋" w:cs="仿宋"/>
          <w:color w:val="000000"/>
          <w:sz w:val="32"/>
          <w:szCs w:val="32"/>
        </w:rPr>
      </w:pPr>
      <w:r>
        <w:rPr>
          <w:rFonts w:hint="eastAsia" w:ascii="仿宋" w:hAnsi="仿宋" w:eastAsia="仿宋" w:cs="仿宋"/>
          <w:color w:val="000000"/>
          <w:w w:val="91"/>
          <w:sz w:val="32"/>
          <w:szCs w:val="32"/>
        </w:rPr>
        <w:t>账号：</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spacing w:after="0" w:line="590" w:lineRule="exact"/>
        <w:jc w:val="center"/>
        <w:rPr>
          <w:rFonts w:ascii="仿宋" w:hAnsi="仿宋" w:eastAsia="仿宋" w:cs="仿宋"/>
          <w:color w:val="000000"/>
          <w:szCs w:val="32"/>
        </w:rPr>
      </w:pPr>
      <w:r>
        <w:rPr>
          <w:rFonts w:hint="eastAsia" w:ascii="仿宋" w:hAnsi="仿宋" w:eastAsia="仿宋" w:cs="仿宋"/>
          <w:color w:val="000000"/>
          <w:szCs w:val="32"/>
        </w:rPr>
        <w:br w:type="page"/>
      </w:r>
      <w:r>
        <w:rPr>
          <w:rFonts w:hint="eastAsia" w:ascii="黑体" w:hAnsi="黑体" w:eastAsia="黑体" w:cs="黑体"/>
          <w:color w:val="000000"/>
          <w:szCs w:val="32"/>
        </w:rPr>
        <w:t>第一章  总 则</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第一条</w:t>
      </w:r>
      <w:r>
        <w:rPr>
          <w:rFonts w:hint="eastAsia" w:ascii="仿宋" w:hAnsi="仿宋" w:eastAsia="仿宋" w:cs="仿宋"/>
          <w:color w:val="000000"/>
          <w:szCs w:val="32"/>
        </w:rPr>
        <w:t xml:space="preserve">  根据《中华人民共和国民法典》《中华人民共和国土地管理法》《中华人民共和国土地管理法实施条例》等法律法规及集体经营性建设用地入市相关规定，双方本着平等、自愿、有偿、诚实信用的原则，订立本合同。</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第二条</w:t>
      </w:r>
      <w:r>
        <w:rPr>
          <w:rFonts w:hint="eastAsia" w:ascii="仿宋" w:hAnsi="仿宋" w:eastAsia="仿宋" w:cs="仿宋"/>
          <w:color w:val="000000"/>
          <w:szCs w:val="32"/>
        </w:rPr>
        <w:t xml:space="preserve">  本合同项下宗地集体经营性建设用地出让方案已依据《土地管理法实施条例》第四十条规定报市（县）人民政府，双方依据出让方案约定本合同内容，且合同有关内容符合规划条件、产业准入和生态环境保护要求等。合同内容与出让方案不符的，以出让方案为准。</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第三条 </w:t>
      </w:r>
      <w:r>
        <w:rPr>
          <w:rFonts w:hint="eastAsia" w:ascii="仿宋" w:hAnsi="仿宋" w:eastAsia="仿宋" w:cs="仿宋"/>
          <w:color w:val="000000"/>
          <w:szCs w:val="32"/>
        </w:rPr>
        <w:t xml:space="preserve"> 出让人作为出让集体土地的所有权人，有权依法出让集体经营性建设用地使用权，但该集体土地的地下资源、</w:t>
      </w:r>
      <w:r>
        <w:rPr>
          <w:rFonts w:hint="eastAsia" w:ascii="仿宋" w:hAnsi="仿宋" w:eastAsia="仿宋" w:cs="仿宋"/>
          <w:color w:val="000000"/>
          <w:spacing w:val="-6"/>
          <w:szCs w:val="32"/>
        </w:rPr>
        <w:t>埋藏物和公用设施不属于集体经营性建设用地使用权出让范围。</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第四条 </w:t>
      </w:r>
      <w:r>
        <w:rPr>
          <w:rFonts w:hint="eastAsia" w:ascii="仿宋" w:hAnsi="仿宋" w:eastAsia="仿宋" w:cs="仿宋"/>
          <w:color w:val="000000"/>
          <w:szCs w:val="32"/>
        </w:rPr>
        <w:t xml:space="preserve"> 受让人对依法取得的集体经营性建设用地，在出让期限内享有占有、使用、收益和依法处置的权利，有权利用该土地依法建造符合相关规划的建筑物、构筑物及其附属设施，并合理使用。</w:t>
      </w:r>
    </w:p>
    <w:p>
      <w:pPr>
        <w:snapToGrid w:val="0"/>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第二章 出让土地的交付与出让价款的缴纳</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第五条 </w:t>
      </w:r>
      <w:r>
        <w:rPr>
          <w:rFonts w:hint="eastAsia" w:ascii="仿宋" w:hAnsi="仿宋" w:eastAsia="仿宋" w:cs="仿宋"/>
          <w:color w:val="000000"/>
          <w:szCs w:val="32"/>
        </w:rPr>
        <w:t xml:space="preserve"> 本合同项下出让宗地编号为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，宗地总面积大写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平方米），其中出让宗地面积大写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本合同项下的出让宗地坐落于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w w:val="91"/>
          <w:szCs w:val="32"/>
          <w:u w:val="single"/>
        </w:rPr>
      </w:pPr>
      <w:r>
        <w:rPr>
          <w:rFonts w:hint="eastAsia" w:ascii="仿宋" w:hAnsi="仿宋" w:eastAsia="仿宋" w:cs="仿宋"/>
          <w:color w:val="000000"/>
          <w:szCs w:val="32"/>
        </w:rPr>
        <w:t>本合同项下出让宗地的平面界址为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 xml:space="preserve">；出让宗地的平面界址图见附件1。 </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本合同项下出让宗地的竖向界限以</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为上界限；以</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为下界限，高差为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米。出让宗地竖向界限见附件2。</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出让宗地空间范围是以上述界址点所构成的垂直面和上、下界限高程平面封闭形成的空间范围，图示与文字表示不一致的，以附件1和附件2图示表达为准。</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第六条</w:t>
      </w:r>
      <w:r>
        <w:rPr>
          <w:rFonts w:hint="eastAsia" w:ascii="仿宋" w:hAnsi="仿宋" w:eastAsia="仿宋" w:cs="仿宋"/>
          <w:color w:val="000000"/>
          <w:szCs w:val="32"/>
        </w:rPr>
        <w:t xml:space="preserve">  本合同项下出让宗地的用途及出让年期为:</w:t>
      </w:r>
    </w:p>
    <w:p>
      <w:pPr>
        <w:spacing w:after="0" w:line="590" w:lineRule="exact"/>
        <w:ind w:firstLine="640" w:firstLineChars="200"/>
        <w:rPr>
          <w:rFonts w:ascii="仿宋" w:hAnsi="仿宋" w:eastAsia="仿宋" w:cs="仿宋"/>
          <w:color w:val="000000"/>
          <w:szCs w:val="32"/>
          <w:u w:val="single"/>
        </w:rPr>
      </w:pPr>
      <w:r>
        <w:rPr>
          <w:rFonts w:hint="eastAsia" w:ascii="仿宋" w:hAnsi="仿宋" w:eastAsia="仿宋" w:cs="仿宋"/>
          <w:color w:val="000000"/>
          <w:szCs w:val="32"/>
        </w:rPr>
        <w:t>用途一</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，出让年期</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年，面积大写</w:t>
      </w:r>
      <w:r>
        <w:rPr>
          <w:rFonts w:hint="eastAsia" w:ascii="仿宋" w:hAnsi="仿宋" w:eastAsia="仿宋" w:cs="仿宋"/>
          <w:color w:val="000000"/>
          <w:szCs w:val="32"/>
          <w:u w:val="single"/>
        </w:rPr>
        <w:t xml:space="preserve">     </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平方米），占出让地块面积</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u w:val="single"/>
        </w:rPr>
      </w:pPr>
      <w:r>
        <w:rPr>
          <w:rFonts w:hint="eastAsia" w:ascii="仿宋" w:hAnsi="仿宋" w:eastAsia="仿宋" w:cs="仿宋"/>
          <w:color w:val="000000"/>
          <w:szCs w:val="32"/>
        </w:rPr>
        <w:t>用途二</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，出让年期</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年，面积大写</w:t>
      </w:r>
      <w:r>
        <w:rPr>
          <w:rFonts w:hint="eastAsia" w:ascii="仿宋" w:hAnsi="仿宋" w:eastAsia="仿宋" w:cs="仿宋"/>
          <w:color w:val="000000"/>
          <w:szCs w:val="32"/>
          <w:u w:val="single"/>
        </w:rPr>
        <w:t xml:space="preserve">     </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平方米），占出让地块面积</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u w:val="single"/>
        </w:rPr>
      </w:pPr>
      <w:r>
        <w:rPr>
          <w:rFonts w:hint="eastAsia" w:ascii="仿宋" w:hAnsi="仿宋" w:eastAsia="仿宋" w:cs="仿宋"/>
          <w:color w:val="000000"/>
          <w:szCs w:val="32"/>
        </w:rPr>
        <w:t>用途三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，出让年期</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年，面积大写</w:t>
      </w:r>
      <w:r>
        <w:rPr>
          <w:rFonts w:hint="eastAsia" w:ascii="仿宋" w:hAnsi="仿宋" w:eastAsia="仿宋" w:cs="仿宋"/>
          <w:color w:val="000000"/>
          <w:szCs w:val="32"/>
          <w:u w:val="single"/>
        </w:rPr>
        <w:t xml:space="preserve">      </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平方米），占出让地块面积</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第七条</w:t>
      </w:r>
      <w:r>
        <w:rPr>
          <w:rFonts w:hint="eastAsia" w:ascii="仿宋" w:hAnsi="仿宋" w:eastAsia="仿宋" w:cs="仿宋"/>
          <w:color w:val="000000"/>
          <w:szCs w:val="32"/>
        </w:rPr>
        <w:t xml:space="preserve">  本合同项下出让宗地的出让年期，分别按以下约定起算：</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（一）出让人按期交付土地的，按交付土地之日起算；出让人未能按期交付土地的，按实际交付土地之日起算；</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（二）出让人交付的土地未能达到本合同约定的土地条件或单方改变土地使用条件的，按达到约定的土地条件之日起算；</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第八条</w:t>
      </w:r>
      <w:r>
        <w:rPr>
          <w:rFonts w:hint="eastAsia" w:ascii="仿宋" w:hAnsi="仿宋" w:eastAsia="仿宋" w:cs="仿宋"/>
          <w:color w:val="000000"/>
          <w:szCs w:val="32"/>
        </w:rPr>
        <w:t xml:space="preserve">  出让人同意在</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日前将出让宗地交付受让人，并同意在交付土地时该宗地应达到本条第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项规定的土地条件，双方于交地当日签订交地确认书：</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（一）场地平整达到</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；周围基础设施达到</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（二）现状土地条件</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第九条</w:t>
      </w:r>
      <w:r>
        <w:rPr>
          <w:rFonts w:hint="eastAsia" w:ascii="仿宋" w:hAnsi="仿宋" w:eastAsia="仿宋" w:cs="仿宋"/>
          <w:color w:val="000000"/>
          <w:szCs w:val="32"/>
        </w:rPr>
        <w:t xml:space="preserve">  受让人向出让人支付集体经营性建设用地使用权出让价款总额为人民币大写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元），每平方米人民币大写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第十条</w:t>
      </w:r>
      <w:r>
        <w:rPr>
          <w:rFonts w:hint="eastAsia" w:ascii="仿宋" w:hAnsi="仿宋" w:eastAsia="仿宋" w:cs="仿宋"/>
          <w:color w:val="000000"/>
          <w:szCs w:val="32"/>
        </w:rPr>
        <w:t xml:space="preserve">  本合同定金为人民币大写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元），缴款日期</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日，定金抵作集体经营性建设用地使用权出让价款。</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第十一条</w:t>
      </w:r>
      <w:r>
        <w:rPr>
          <w:rFonts w:hint="eastAsia" w:ascii="仿宋" w:hAnsi="仿宋" w:eastAsia="仿宋" w:cs="仿宋"/>
          <w:color w:val="000000"/>
          <w:szCs w:val="32"/>
        </w:rPr>
        <w:t xml:space="preserve">  受让人同意按本条第一款第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项的约定，通过市（县）财政监管账户，向出让人支付集体经营性建设用地使用权出让价款：</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（一）本合同签订之日起</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工作日内，一次性将集体经营性建设用地使用权出让价款缴入市（县）财政监管账户；</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（二）按以下时间和金额分</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期将集体经营性建设用地使用权出让价款缴入市（县）财政监管账户。</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第一期 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元），付款时间：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日前。</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第二期 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元），付款时间：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日前。</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期 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元），付款时间：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日前。</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期 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元），付款时间：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日前。</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分期支付集体经营性建设用地使用权出让价款的，受让人在支付第二期及以后各期出让价款时，同意按照以下第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种方式，通过市（县）财政监管账户，向出让人支付利息：</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1.支付第一期出让价款之日中国人民银行授权全国银行间同业拆借中心公布的有效的一年期贷款市场报价利率。</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第十二条</w:t>
      </w:r>
      <w:r>
        <w:rPr>
          <w:rFonts w:hint="eastAsia" w:ascii="仿宋" w:hAnsi="仿宋" w:eastAsia="仿宋" w:cs="仿宋"/>
          <w:color w:val="000000"/>
          <w:szCs w:val="32"/>
        </w:rPr>
        <w:t xml:space="preserve">  本合同签订后5个工作日内，受让人应当将合同报市（县）人民政府自然资源主管部门备案。完成备案后，自然资源主管部门将备案合同、宗地编号、空间范围、规划条件等涉空间布局和规划管理信息纳入有关基础信息平台和监测监管系统。</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本合同条款发生变更的，受让人应当在合同变更后5个工作日内重新备案合同。</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第十三条</w:t>
      </w:r>
      <w:r>
        <w:rPr>
          <w:rFonts w:hint="eastAsia" w:ascii="仿宋" w:hAnsi="仿宋" w:eastAsia="仿宋" w:cs="仿宋"/>
          <w:color w:val="000000"/>
          <w:szCs w:val="32"/>
        </w:rPr>
        <w:t xml:space="preserve">  受让人同意按第十条、第十一条约定的定金、集体经营性建设用地使用权出让价款的支付方式，将定金、出让价款缴入市（县）财政监管账户。</w:t>
      </w:r>
    </w:p>
    <w:p>
      <w:pPr>
        <w:spacing w:after="0" w:line="590" w:lineRule="exact"/>
        <w:ind w:firstLine="640" w:firstLineChars="200"/>
        <w:rPr>
          <w:rFonts w:ascii="仿宋" w:hAnsi="仿宋" w:eastAsia="仿宋" w:cs="仿宋"/>
          <w:color w:val="000000"/>
          <w:szCs w:val="32"/>
          <w:u w:val="single"/>
        </w:rPr>
      </w:pPr>
      <w:r>
        <w:rPr>
          <w:rFonts w:hint="eastAsia" w:ascii="仿宋" w:hAnsi="仿宋" w:eastAsia="仿宋" w:cs="仿宋"/>
          <w:color w:val="000000"/>
          <w:szCs w:val="32"/>
        </w:rPr>
        <w:t>户名：</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账号：</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开户行：</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出让人完成土地交付后，财政监管账户于5个工作日内将定金抵作的集体经营性建设用地使用权出让价款转出至出让人账户，并在受让人按第十一条支付出让价款后的5个工作日内将后续出让价款转出至出让人账户。出让人应当及时查收确认。</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第十四条</w:t>
      </w:r>
      <w:r>
        <w:rPr>
          <w:rFonts w:hint="eastAsia" w:ascii="仿宋" w:hAnsi="仿宋" w:eastAsia="仿宋" w:cs="仿宋"/>
          <w:color w:val="000000"/>
          <w:szCs w:val="32"/>
        </w:rPr>
        <w:t xml:space="preserve">  受让人按本合同约定付清本宗地全部出让价款后，持本合同、合同备案文件、出让价款缴纳凭证、土地增值收益调节金缴纳凭证、完税证明等相关证明材料，申请办理不动产登记。</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第三章  土地开发建设与利用</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第十五条</w:t>
      </w:r>
      <w:r>
        <w:rPr>
          <w:rFonts w:hint="eastAsia" w:ascii="仿宋" w:hAnsi="仿宋" w:eastAsia="仿宋" w:cs="仿宋"/>
          <w:color w:val="000000"/>
          <w:szCs w:val="32"/>
        </w:rPr>
        <w:t xml:space="preserve">  受让人同意本合同项下出让宗地开发投资强度按本条第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项规定执行：</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（一）本合同项下宗地用于工业项目建设，受让人同意本合同项下出让宗地的项目固定资产总投资不低于经批准、登记备案或合同双方当事人约定的金额人民币大写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万元（小写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万元），投资强度不低于每平方米人民币大写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元）。本合同项下出让宗地建设项目的固定资产总投资包括建筑安装工程价值，设备、工具、器具的购置费，以及相关费用（含集体经营性建设用地使用权出让价款）。</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（二）本合同项下宗地用于非工业项目建设，受让人承诺</w:t>
      </w:r>
      <w:r>
        <w:rPr>
          <w:rFonts w:hint="eastAsia" w:ascii="仿宋" w:hAnsi="仿宋" w:eastAsia="仿宋" w:cs="仿宋"/>
          <w:color w:val="000000"/>
          <w:spacing w:val="20"/>
          <w:szCs w:val="32"/>
        </w:rPr>
        <w:t>本合同项下出让宗地的开发投资总额不低于人民币大写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万元（小写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万元）。</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第十六条</w:t>
      </w:r>
      <w:r>
        <w:rPr>
          <w:rFonts w:hint="eastAsia" w:ascii="仿宋" w:hAnsi="仿宋" w:eastAsia="仿宋" w:cs="仿宋"/>
          <w:color w:val="000000"/>
          <w:szCs w:val="32"/>
        </w:rPr>
        <w:t xml:space="preserve">  受让人同意在本合同项下宗地范围内新建的建筑物、构筑物及其附属设施，符合市（县）人民政府自然资源主管部门确定的出让宗地规划条件（见附件3）。其中：</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用地性质</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主体建筑物性质</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附属建筑物性质</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建筑总面积</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平方米，占地面积</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容积率不高于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不低于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建筑限高</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建筑密度不高于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不低于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绿地率不高于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不低于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其他土地利用要求</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受让人同意按产业准入和生态环境保护要求等，利用本合同项下出让宗地，具体要求见附件4、附件5。</w:t>
      </w:r>
    </w:p>
    <w:p>
      <w:pPr>
        <w:tabs>
          <w:tab w:val="center" w:pos="4153"/>
          <w:tab w:val="right" w:pos="8306"/>
        </w:tabs>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第十七条 </w:t>
      </w:r>
      <w:r>
        <w:rPr>
          <w:rFonts w:hint="eastAsia" w:ascii="仿宋" w:hAnsi="仿宋" w:eastAsia="仿宋" w:cs="仿宋"/>
          <w:color w:val="000000"/>
          <w:szCs w:val="32"/>
        </w:rPr>
        <w:t xml:space="preserve"> 受让人同意本合同项下宗地建设配套按本条第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项约定执行：</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（一）本合同项下宗地主要用于工业项目建设，根据自然资源主管部门确定的规划条件，本合同受让宗地范围内用于企业内部行政办公及生活服务设施的占地面积不超过受让宗地面积的</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%，即不超过</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平方米，建筑面积不超过总建筑面积的</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%，即不超过</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平方米。受让人不得在受让宗地范围内建造成套住宅、专家楼、宾馆、招待所和培训中心等非生产性设施；</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（二）本合同项下宗地主要用于商业项目建设，根据自然资源主管部门确定的规划条件，受让人不得在受让宗地范围内建造成套住宅等非商业设施；</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（三）本合同项下宗地主要用于保障性租赁住房项目建设，根据自然资源主管部门确定的规划条件，本合同受让宗地范围内保障性租赁住房建设总套数不少于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套。其中，套型建筑面积70平方米以下保障性租赁住房面积占本合同项下受让宗地开发建设总面积的比例不低于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％，保障性租赁住房建设套型要求为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pStyle w:val="6"/>
        <w:spacing w:before="0" w:after="0"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（四）本合同项下宗地主要用于</w:t>
      </w:r>
      <w:r>
        <w:rPr>
          <w:rFonts w:hint="eastAsia" w:ascii="仿宋" w:hAnsi="仿宋" w:eastAsia="仿宋" w:cs="仿宋"/>
          <w:bCs/>
          <w:color w:val="000000"/>
          <w:sz w:val="32"/>
          <w:szCs w:val="32"/>
          <w:u w:val="single"/>
        </w:rPr>
        <w:t xml:space="preserve">            </w:t>
      </w:r>
      <w:r>
        <w:rPr>
          <w:rFonts w:hint="eastAsia" w:ascii="仿宋" w:hAnsi="仿宋" w:eastAsia="仿宋" w:cs="仿宋"/>
          <w:color w:val="000000"/>
          <w:sz w:val="32"/>
          <w:szCs w:val="32"/>
        </w:rPr>
        <w:t>项目建设，土地利用要求为</w:t>
      </w:r>
      <w:r>
        <w:rPr>
          <w:rFonts w:hint="eastAsia" w:ascii="仿宋" w:hAnsi="仿宋" w:eastAsia="仿宋" w:cs="仿宋"/>
          <w:bCs/>
          <w:color w:val="000000"/>
          <w:sz w:val="32"/>
          <w:szCs w:val="32"/>
          <w:u w:val="single"/>
        </w:rPr>
        <w:t xml:space="preserve">            </w:t>
      </w:r>
      <w:r>
        <w:rPr>
          <w:rFonts w:hint="eastAsia" w:ascii="仿宋" w:hAnsi="仿宋" w:eastAsia="仿宋" w:cs="仿宋"/>
          <w:bCs/>
          <w:color w:val="000000"/>
          <w:sz w:val="32"/>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第十八条</w:t>
      </w:r>
      <w:r>
        <w:rPr>
          <w:rFonts w:hint="eastAsia" w:ascii="仿宋" w:hAnsi="仿宋" w:eastAsia="仿宋" w:cs="仿宋"/>
          <w:color w:val="000000"/>
          <w:szCs w:val="32"/>
        </w:rPr>
        <w:t xml:space="preserve">  受让人同意在本合同项下宗地范围内同步修建下列公共管理、公共服务、公用设施等配套项目：</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□养老、教育、医疗等保障性配套服务设施；</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□其他</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tabs>
          <w:tab w:val="center" w:pos="4153"/>
          <w:tab w:val="right" w:pos="8306"/>
        </w:tabs>
        <w:spacing w:after="0" w:line="590" w:lineRule="exact"/>
        <w:ind w:firstLine="720" w:firstLineChars="200"/>
        <w:jc w:val="left"/>
        <w:rPr>
          <w:rFonts w:ascii="仿宋" w:hAnsi="仿宋" w:eastAsia="仿宋" w:cs="仿宋"/>
          <w:color w:val="000000"/>
          <w:spacing w:val="-14"/>
          <w:szCs w:val="32"/>
        </w:rPr>
      </w:pPr>
      <w:r>
        <w:rPr>
          <w:rFonts w:hint="eastAsia" w:ascii="仿宋" w:hAnsi="仿宋" w:eastAsia="仿宋" w:cs="仿宋"/>
          <w:color w:val="000000"/>
          <w:spacing w:val="-14"/>
          <w:szCs w:val="32"/>
        </w:rPr>
        <w:t>受让人并同意上述配套项目建成后，按本条第二款第</w:t>
      </w:r>
      <w:r>
        <w:rPr>
          <w:rFonts w:hint="eastAsia" w:ascii="仿宋" w:hAnsi="仿宋" w:eastAsia="仿宋" w:cs="仿宋"/>
          <w:color w:val="000000"/>
          <w:spacing w:val="-14"/>
          <w:szCs w:val="32"/>
          <w:u w:val="single"/>
        </w:rPr>
        <w:t xml:space="preserve">    </w:t>
      </w:r>
      <w:r>
        <w:rPr>
          <w:rFonts w:hint="eastAsia" w:ascii="仿宋" w:hAnsi="仿宋" w:eastAsia="仿宋" w:cs="仿宋"/>
          <w:color w:val="000000"/>
          <w:spacing w:val="-14"/>
          <w:szCs w:val="32"/>
        </w:rPr>
        <w:t>项履行：</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（一）不动产产权无偿移交给出让人或政府；</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（二）由出让人或政府回购；</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（四）</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第十九条 </w:t>
      </w:r>
      <w:r>
        <w:rPr>
          <w:rFonts w:hint="eastAsia" w:ascii="仿宋" w:hAnsi="仿宋" w:eastAsia="仿宋" w:cs="仿宋"/>
          <w:color w:val="000000"/>
          <w:spacing w:val="11"/>
          <w:szCs w:val="32"/>
        </w:rPr>
        <w:t>受让人同意本合同项下出让宗地建设项目于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日之前开工，于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日之前竣工。</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受让人不能按期开工，提前30日向出让人提出延建申请，经出让人同意延建的，其项目竣工时间相应顺延，但延建期限不得超过一年。受让人并自行办理延期开工手续。</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第二十条</w:t>
      </w:r>
      <w:r>
        <w:rPr>
          <w:rFonts w:hint="eastAsia" w:ascii="仿宋" w:hAnsi="仿宋" w:eastAsia="仿宋" w:cs="仿宋"/>
          <w:color w:val="000000"/>
          <w:szCs w:val="32"/>
        </w:rPr>
        <w:t xml:space="preserve"> 受让人在本合同项下宗地范围内进行建设时，有关用水、用气、污水及其他设施与宗地外主管线、用电变电站接口和引入工程，按有关规定办理。</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合同双方当事人同意，政府为公用事业需要而敷设的各种管道与管线进出、通过、穿越受让宗地，由此影响受让宗地使用功能的，政府或公用事业营建主体给予□受让人 □出让人 □其他</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合理补偿。</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第二十一条</w:t>
      </w:r>
      <w:r>
        <w:rPr>
          <w:rFonts w:hint="eastAsia" w:ascii="仿宋" w:hAnsi="仿宋" w:eastAsia="仿宋" w:cs="仿宋"/>
          <w:color w:val="000000"/>
          <w:szCs w:val="32"/>
        </w:rPr>
        <w:t xml:space="preserve">  受让人同意按照本合同约定的土地用途、容积率等规划条件利用土地，不得擅自改变。在出让期限内，需要改变本合同约定的土地用途的，双方同意按本条第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项约定办理：</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（一）由出让人收回集体经营性建设用地使用权；</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依法办理改变土地用途手续，签订集体经营性建设用地使用权出让合同变更协议或重新签订集体经营性建设用地使用权出让合同，由受让人按照批准改变时新土地用途下建设用地使用权评估市场价格与原土地用途下建设用地使用权评估市场价格的差额，补缴集体经营性建设用地使用权出让价款，缴纳相应税费，办理不动产变更登记。新土地用途的市场价格低于原土地用途的市场价格的，不需补缴出让价款，已缴的出让价款不予退还。评估估价期日以自然资源主管部门依法受理改变用途申请的时点为准；</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第二十二条</w:t>
      </w:r>
      <w:r>
        <w:rPr>
          <w:rFonts w:hint="eastAsia" w:ascii="仿宋" w:hAnsi="仿宋" w:eastAsia="仿宋" w:cs="仿宋"/>
          <w:color w:val="000000"/>
          <w:szCs w:val="32"/>
        </w:rPr>
        <w:t xml:space="preserve">  本合同项下出让宗地在使用期限内，原规划如依法修改，该宗地已有的建筑物不受影响，但在使用期限内该宗地建筑物、构筑物及其附属设施改建、翻建、重建，或者期限届满申请续期时，必须按届时有效的规划执行。</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第四章  集体经营性建设用地使用权转让、出租、抵押</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第二十三条</w:t>
      </w:r>
      <w:r>
        <w:rPr>
          <w:rFonts w:hint="eastAsia" w:ascii="仿宋" w:hAnsi="仿宋" w:eastAsia="仿宋" w:cs="仿宋"/>
          <w:color w:val="000000"/>
          <w:szCs w:val="32"/>
        </w:rPr>
        <w:t xml:space="preserve">  受让人按照本合同约定支付全部集体经营性建设用地使用权出让价款，领取不动产权证后，有权将本合同项下的全部或部分集体经营性建设用地使用权转让、出租、抵押。首次转让的，受让人同意分别符合以下约定的条件：</w:t>
      </w:r>
    </w:p>
    <w:p>
      <w:pPr>
        <w:numPr>
          <w:ilvl w:val="0"/>
          <w:numId w:val="1"/>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按照本合同约定进行投资开发，属于房屋建设工程的，完成开发投资总额的百分之二十五以上；</w:t>
      </w:r>
    </w:p>
    <w:p>
      <w:pPr>
        <w:numPr>
          <w:ilvl w:val="0"/>
          <w:numId w:val="1"/>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按照本合同约定进行投资开发，属于成片开发土地的，已形成工业用地或其他建设用地条件；</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有下列情形之一的，受让人不得将本合同项下的全部或部分集体经营性建设用地使用权转让、出租、抵押：</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tabs>
          <w:tab w:val="center" w:pos="4153"/>
          <w:tab w:val="right" w:pos="8306"/>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集体经营性建设用地使用权的转让、出租及抵押，不得违背国家法律、法规规定和本合同约定。</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第二十四条</w:t>
      </w:r>
      <w:r>
        <w:rPr>
          <w:rFonts w:hint="eastAsia" w:ascii="仿宋" w:hAnsi="仿宋" w:eastAsia="仿宋" w:cs="仿宋"/>
          <w:color w:val="000000"/>
          <w:szCs w:val="32"/>
        </w:rPr>
        <w:t xml:space="preserve">  集体经营性建设用地使用权全部或部分转让后，受让人应当确保本合同和不动产登记文件中载明的权利、义务随之转移，集体经营性建设用地使用权的使用年限为本合同约定的使用年限减去已经使用年限后的剩余年限。</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本合同项下的全部或部分集体经营性建设用地使用权出租后，本合同和不动产登记文件中载明的权利、义务仍由受让人承担。</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第二十五条</w:t>
      </w:r>
      <w:r>
        <w:rPr>
          <w:rFonts w:hint="eastAsia" w:ascii="仿宋" w:hAnsi="仿宋" w:eastAsia="仿宋" w:cs="仿宋"/>
          <w:color w:val="000000"/>
          <w:szCs w:val="32"/>
        </w:rPr>
        <w:t xml:space="preserve">  集体经营性建设用地使用权转让、抵押的，转让、抵押双方持本合同和相应的转让、抵押合同、出让价款缴纳凭证、不动产权证等向不动产登记机构申请办理不动产转移、抵押登记。</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第二十六条</w:t>
      </w:r>
      <w:r>
        <w:rPr>
          <w:rFonts w:hint="eastAsia" w:ascii="仿宋" w:hAnsi="仿宋" w:eastAsia="仿宋" w:cs="仿宋"/>
          <w:color w:val="000000"/>
          <w:szCs w:val="32"/>
        </w:rPr>
        <w:t xml:space="preserve">  受让人转让或者抵押本合同项下的集体经营性建设用地使用权的，应当于转让或者抵押书面合同签订后5个工作日内，书面告知出让人和市（县）人民政府自然资源主管部门，并提交以下材料：</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（一）转让或抵押的书面合同原件；</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等资料。</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第五章  期限届满与使用权终止</w:t>
      </w:r>
    </w:p>
    <w:p>
      <w:pPr>
        <w:tabs>
          <w:tab w:val="left" w:pos="4620"/>
        </w:tabs>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第二十七条 </w:t>
      </w:r>
      <w:r>
        <w:rPr>
          <w:rFonts w:hint="eastAsia" w:ascii="仿宋" w:hAnsi="仿宋" w:eastAsia="仿宋" w:cs="仿宋"/>
          <w:color w:val="000000"/>
          <w:szCs w:val="32"/>
        </w:rPr>
        <w:t xml:space="preserve"> 因公共利益需要，国家征收集体土地，涉及本合同项下出让宗地的，土地补偿费归出让人所有。出让人同意与受让人协商，并给予其公平补偿。</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征收时，本合同项下宗地范围内由受让人建设的附着物的补偿费归受让人所有。</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第二十八条</w:t>
      </w:r>
      <w:r>
        <w:rPr>
          <w:rFonts w:hint="eastAsia" w:ascii="仿宋" w:hAnsi="仿宋" w:eastAsia="仿宋" w:cs="仿宋"/>
          <w:color w:val="000000"/>
          <w:szCs w:val="32"/>
        </w:rPr>
        <w:t xml:space="preserve">  对受让人依法使用的集体经营性建设用地使用权，在本合同约定的使用年限届满前，除非有下列情况，出让人不得收回集体经营性建设用地使用权：</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（一）为乡（镇）村公共设施和公益事业建设，需要使用土地的；</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（二）受让人不按照约定用途使用土地的，且未依法办理改变土地用途手续的；</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（三）受让人因撤销、迁移等原因而停止使用土地的；</w:t>
      </w:r>
    </w:p>
    <w:p>
      <w:pPr>
        <w:pStyle w:val="6"/>
        <w:spacing w:before="0" w:after="0" w:line="590" w:lineRule="exact"/>
        <w:ind w:firstLine="640" w:firstLineChars="200"/>
        <w:rPr>
          <w:rFonts w:ascii="仿宋" w:hAnsi="仿宋" w:eastAsia="仿宋" w:cs="仿宋"/>
          <w:color w:val="000000"/>
          <w:sz w:val="32"/>
          <w:szCs w:val="32"/>
        </w:rPr>
      </w:pPr>
      <w:r>
        <w:rPr>
          <w:rFonts w:hint="eastAsia" w:ascii="仿宋" w:hAnsi="仿宋" w:eastAsia="仿宋" w:cs="仿宋"/>
          <w:bCs/>
          <w:color w:val="000000"/>
          <w:sz w:val="32"/>
          <w:szCs w:val="32"/>
        </w:rPr>
        <w:t>（四）受让人违反产业准入要求、生态环境保护要求等使用土地且拒不改正的；</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（五）</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为乡（镇）村公共设施和公益事业建设等公共利益收回集体经营性建设用地使用权的，出让人根据收回时由受让人建设的建筑物、构筑物及其附属设施的价值和剩余年期集体经营性建设用地使用权的评估市场价格及经评估认定的直接损失给予受让人补偿。</w:t>
      </w:r>
    </w:p>
    <w:p>
      <w:pPr>
        <w:pStyle w:val="6"/>
        <w:spacing w:before="0" w:after="0"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出让人按本条第一款约定以及本合同第二十一条、三十条、三十四条、三十五条有关约定收回集体经营性建设用地使用权的，受让人同意及时办理不动产注销登记。</w:t>
      </w:r>
    </w:p>
    <w:p>
      <w:pPr>
        <w:tabs>
          <w:tab w:val="left" w:pos="4620"/>
        </w:tabs>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第二十九条 </w:t>
      </w:r>
      <w:r>
        <w:rPr>
          <w:rFonts w:hint="eastAsia" w:ascii="仿宋" w:hAnsi="仿宋" w:eastAsia="仿宋" w:cs="仿宋"/>
          <w:color w:val="000000"/>
          <w:szCs w:val="32"/>
        </w:rPr>
        <w:t xml:space="preserve"> 本合同约定的使用年限届满，受让人需要继续使用本合同项下宗地的，至迟于届满前一年向出让人提交续期申请书，除非有下列情况，出让人应当同意予以续期：</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（一）依据本合同第二十七条需要征收集体土地；</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（二）依据本合同第二十八条或合同其他约定等需要收回本合同项下出让宗地的；</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出让人同意续期的，受让人依法办理出让、出租等有偿用地手续，重新签订出让、出租等土地有偿使用合同，支付出让价款、租金等土地有偿使用费，并办理合同备案、不动产登记等手续。</w:t>
      </w:r>
    </w:p>
    <w:p>
      <w:pPr>
        <w:tabs>
          <w:tab w:val="left" w:pos="4620"/>
        </w:tabs>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第三十条</w:t>
      </w:r>
      <w:r>
        <w:rPr>
          <w:rFonts w:hint="eastAsia" w:ascii="仿宋" w:hAnsi="仿宋" w:eastAsia="仿宋" w:cs="仿宋"/>
          <w:color w:val="000000"/>
          <w:szCs w:val="32"/>
        </w:rPr>
        <w:t xml:space="preserve">  土地出让期限届满，受让人申请续期未获同意或没有申请续期的，受让人同意交回不动产权证，并依照规定办理不动产注销登记，集体经营性建设用地使用权由出让人无偿收回。出让人和受让人同意本合同项下宗地范围内由受让人</w:t>
      </w:r>
      <w:r>
        <w:rPr>
          <w:rFonts w:hint="eastAsia" w:ascii="仿宋" w:hAnsi="仿宋" w:eastAsia="仿宋" w:cs="仿宋"/>
          <w:color w:val="000000"/>
          <w:spacing w:val="-23"/>
          <w:szCs w:val="32"/>
        </w:rPr>
        <w:t>建设的建筑物、构筑物及其附属设施，按本条第</w:t>
      </w:r>
      <w:r>
        <w:rPr>
          <w:rFonts w:hint="eastAsia" w:ascii="仿宋" w:hAnsi="仿宋" w:eastAsia="仿宋" w:cs="仿宋"/>
          <w:color w:val="000000"/>
          <w:spacing w:val="-23"/>
          <w:szCs w:val="32"/>
          <w:u w:val="single"/>
        </w:rPr>
        <w:t xml:space="preserve">     </w:t>
      </w:r>
      <w:r>
        <w:rPr>
          <w:rFonts w:hint="eastAsia" w:ascii="仿宋" w:hAnsi="仿宋" w:eastAsia="仿宋" w:cs="仿宋"/>
          <w:color w:val="000000"/>
          <w:spacing w:val="-23"/>
          <w:szCs w:val="32"/>
        </w:rPr>
        <w:t>项约定履行：</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（一）由出让人收回由受让人建设的建筑物、构筑物及其附属设施，并根据收回时建筑物、构筑物及其附属设施的价值，给予受让人相应补偿；</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（二）由出让人无偿收回由受让人建设的建筑物、构筑物及其附属设施；</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tabs>
          <w:tab w:val="left" w:pos="4620"/>
        </w:tabs>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受让人同意保持建筑物、构筑物及其附属设施的正常使用功能，不得人为破坏。建筑物、构筑物及其附属设施失去正常使用功能的，出让人可要求受让人移动或拆除其建设的建筑物、构筑物及其附属设施，恢复场地平整。土地使用期限届满未续期的，受让人不按约定交回不动产权证，未办理不动产注销登记的，出让人经公告或通知受让人后，可以持本出让合同及有关补充协议等办理不动产注销登记。</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第六章  不可抗力</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第三十一条</w:t>
      </w:r>
      <w:r>
        <w:rPr>
          <w:rFonts w:hint="eastAsia" w:ascii="仿宋" w:hAnsi="仿宋" w:eastAsia="仿宋" w:cs="仿宋"/>
          <w:color w:val="000000"/>
          <w:szCs w:val="32"/>
        </w:rPr>
        <w:t xml:space="preserve">  合同双方当事人任何一方由于不可抗力原因造成的本合同部分或全部不能履行，可以免除违约责任，但在条件允许下采取一切必要的补救措施以减少因不可抗力造成的损失。当事人迟延履行期间发生的不可抗力，不具有免责效力。</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第三十二条</w:t>
      </w:r>
      <w:r>
        <w:rPr>
          <w:rFonts w:hint="eastAsia" w:ascii="仿宋" w:hAnsi="仿宋" w:eastAsia="仿宋" w:cs="仿宋"/>
          <w:color w:val="000000"/>
          <w:szCs w:val="32"/>
        </w:rPr>
        <w:t xml:space="preserve">  不可抗力事件发生后，遇有不可抗力的一方应当在力所能及的条件下迅速采取措施，尽力减少损失，尽快（最迟不得晚于不可抗力事件结束后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天内）向另一方书面告知有关情况。不可抗力结束后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天内，向另一方提交本合同部分或全部不能履行或需要延期履行的报告及证明，并协商具体处理办法。</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第七章  违约责任</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第三十三条</w:t>
      </w:r>
      <w:r>
        <w:rPr>
          <w:rFonts w:hint="eastAsia" w:ascii="仿宋" w:hAnsi="仿宋" w:eastAsia="仿宋" w:cs="仿宋"/>
          <w:color w:val="000000"/>
          <w:szCs w:val="32"/>
        </w:rPr>
        <w:t xml:space="preserve">  受让人同意按照本合同约定，按时支付集体经营性建设用地使用权出让价款。受让人不能按时支付出让价款的，自滞纳之日起，每日按迟延支付款项的万分之</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向出让人缴纳违约金，延期付款超过60日，经出让人催交后仍不能支付使用权出让价款的，出让人有权解除合同，并报市（县）人民政府自然资源主管部门。受让人无权要求返还定金，出让人并可请求受让人赔偿损失。</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第三十四条</w:t>
      </w:r>
      <w:r>
        <w:rPr>
          <w:rFonts w:hint="eastAsia" w:ascii="仿宋" w:hAnsi="仿宋" w:eastAsia="仿宋" w:cs="仿宋"/>
          <w:color w:val="000000"/>
          <w:szCs w:val="32"/>
        </w:rPr>
        <w:t xml:space="preserve">  受让人因自身原因终止该项目投资建设，提出终止履行本合同并请求退还土地的，出让人分别按以下约定，收回集体经营性建设用地使用权：</w:t>
      </w:r>
    </w:p>
    <w:p>
      <w:pPr>
        <w:numPr>
          <w:ilvl w:val="0"/>
          <w:numId w:val="2"/>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受让人在本合同约定的开工建设日期届满一年前不少于60日向出让人提出申请的，出让人在□扣除本合同约定的定金 □其他</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后退还受让人已支付的集体经营性建设用地使用权出让价款（不计利息）；</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（二）受让人在本合同约定的开工建设日期超过一年但未满二年，并在届满二年前不少于60日向出让人提出申请的，出让人在□扣除本合同约定的定金 □其他</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，并由政府有关部门按照规定征收土地闲置费后，退还受让人已支付的集体经营性建设用地使用权出让价款（不计利息）；</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pStyle w:val="6"/>
        <w:spacing w:before="0" w:after="0" w:line="59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该宗地出让范围内已建的建筑物、构筑物及其附属设施，双方同意按本条第二款第</w:t>
      </w:r>
      <w:r>
        <w:rPr>
          <w:rFonts w:hint="eastAsia" w:ascii="仿宋" w:hAnsi="仿宋" w:eastAsia="仿宋" w:cs="仿宋"/>
          <w:bCs/>
          <w:color w:val="000000"/>
          <w:sz w:val="32"/>
          <w:szCs w:val="32"/>
          <w:u w:val="single"/>
        </w:rPr>
        <w:t xml:space="preserve">      </w:t>
      </w:r>
      <w:r>
        <w:rPr>
          <w:rFonts w:hint="eastAsia" w:ascii="仿宋" w:hAnsi="仿宋" w:eastAsia="仿宋" w:cs="仿宋"/>
          <w:bCs/>
          <w:color w:val="000000"/>
          <w:sz w:val="32"/>
          <w:szCs w:val="32"/>
        </w:rPr>
        <w:t>项约定办理：</w:t>
      </w:r>
    </w:p>
    <w:p>
      <w:pPr>
        <w:pStyle w:val="6"/>
        <w:spacing w:before="0" w:after="0" w:line="59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（一）不予补偿；</w:t>
      </w:r>
    </w:p>
    <w:p>
      <w:pPr>
        <w:pStyle w:val="6"/>
        <w:spacing w:before="0" w:after="0" w:line="59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（二）受让人清除已建的建筑物、构筑物及其附属设施，恢复场地平整；</w:t>
      </w:r>
    </w:p>
    <w:p>
      <w:pPr>
        <w:pStyle w:val="6"/>
        <w:spacing w:before="0" w:after="0" w:line="59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（三）出让人继续利用已建的建筑物、构筑物及其附属设施，并给予受让人一定补偿；</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（四）</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第三十五条 </w:t>
      </w:r>
      <w:r>
        <w:rPr>
          <w:rFonts w:hint="eastAsia" w:ascii="仿宋" w:hAnsi="仿宋" w:eastAsia="仿宋" w:cs="仿宋"/>
          <w:color w:val="000000"/>
          <w:szCs w:val="32"/>
        </w:rPr>
        <w:t xml:space="preserve"> 合同双方当事人同意按照节约集约用地原则，互相监督，严禁造成土地闲置。除不可抗力或者政府原因外，因出让人或受让人原因造成土地闲置，满一年未动工开发的，当事人同意按照省、自治区、直辖市的规定缴纳土地闲置费；满二年未动工开发的，合同双方当事人任何一方有权向另一方提出终止履行本合同，并分别按以下约定，协商解决有关补偿事宜：</w:t>
      </w:r>
    </w:p>
    <w:p>
      <w:pPr>
        <w:numPr>
          <w:ilvl w:val="0"/>
          <w:numId w:val="3"/>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因出让人原因造成土地闲置，经受让人同意，出让人可有偿收回集体经营性建设用地使用权；</w:t>
      </w:r>
    </w:p>
    <w:p>
      <w:pPr>
        <w:numPr>
          <w:ilvl w:val="0"/>
          <w:numId w:val="3"/>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因受让人原因造成土地闲置，出让人可无偿收回集体经营性建设用地使用权；</w:t>
      </w:r>
    </w:p>
    <w:p>
      <w:pPr>
        <w:numPr>
          <w:ilvl w:val="0"/>
          <w:numId w:val="3"/>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第三十六条</w:t>
      </w:r>
      <w:r>
        <w:rPr>
          <w:rFonts w:hint="eastAsia" w:ascii="仿宋" w:hAnsi="仿宋" w:eastAsia="仿宋" w:cs="仿宋"/>
          <w:color w:val="000000"/>
          <w:szCs w:val="32"/>
        </w:rPr>
        <w:t xml:space="preserve">  受让人未能按照本合同约定日期或同意延期开工所另行约定日期开工建设的，不超过一年的，每延期一日，按照出让价款的万分之</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向出让人支付违约金，出让人有权要求受让人继续履约。超过一年未动工开发的，按本合同第三十五条有关约定办理。</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受让人未能按照本合同约定日期或同意延建所另行约定日期竣工的，每延期一日，按照出让价款的万分之</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向出让人支付违约金。</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第三十七条</w:t>
      </w:r>
      <w:r>
        <w:rPr>
          <w:rFonts w:hint="eastAsia" w:ascii="仿宋" w:hAnsi="仿宋" w:eastAsia="仿宋" w:cs="仿宋"/>
          <w:color w:val="000000"/>
          <w:szCs w:val="32"/>
        </w:rPr>
        <w:t xml:space="preserve">  项目固定资产总投资、投资强度和开发投资总额未达到本合同约定标准的，出让人有权要求受让人继续履行本合同，并可请求受让人按本条第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项约定支付违约金：</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（一）按照实际差额部分占约定投资总额和投资强度指标的比例，要求受让人支付相当于同比例集体经营性建设用地使用权出让价款的违约金；</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第三十八条</w:t>
      </w:r>
      <w:r>
        <w:rPr>
          <w:rFonts w:hint="eastAsia" w:ascii="仿宋" w:hAnsi="仿宋" w:eastAsia="仿宋" w:cs="仿宋"/>
          <w:color w:val="000000"/>
          <w:szCs w:val="32"/>
        </w:rPr>
        <w:t xml:space="preserve">  本合同项下出让宗地容积率、建筑密度等任何一项指标不符合本合同约定的，出让人有权要求受让人继续履行本合同，并由市（县）人民政府自然资源主管部门责令受让人限期改正。拒不改正的，出让人可请求受让人分别按以下约定支付违约金：</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（一）容积率、建筑密度等任何一项指标低于本合同约定标准范围的，出让人可以按照实际差额部分占约定最低标准的比例，要求受让人支付相当于同比例集体经营性建设用地使用权出让价款的违约金；</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（二）容积率、建筑密度等任何一项指标超出本合同约定标准范围的，出让人有权按照实际差额部分占约定标准的比例，要求受让人支付相当于同比例集体经营性建设用地使用权出让价款的违约金；</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第三十九条</w:t>
      </w:r>
      <w:r>
        <w:rPr>
          <w:rFonts w:hint="eastAsia" w:ascii="仿宋" w:hAnsi="仿宋" w:eastAsia="仿宋" w:cs="仿宋"/>
          <w:color w:val="000000"/>
          <w:szCs w:val="32"/>
        </w:rPr>
        <w:t xml:space="preserve">  工业建设项目的绿地率、企业内部行政办公及生活服务设施用地所占比例、企业内部行政办公及生活服务设施建筑面积等任何一项指标不符合本合同约定标准的，出让人有权要求受让人继续履行本合同，并由市（县）人民政府自然资源主管部门责令受让人限期改正。拒不改正的，出让人可请求受让人分别按以下约定支付违约金，并自行拆除相应的绿化和建筑设施：</w:t>
      </w:r>
    </w:p>
    <w:p>
      <w:pPr>
        <w:numPr>
          <w:ilvl w:val="0"/>
          <w:numId w:val="4"/>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受让人同意向出让人支付相当于集体经营性建设用地使用权出让价款万分之</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的违约金；</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第四十条</w:t>
      </w:r>
      <w:r>
        <w:rPr>
          <w:rFonts w:hint="eastAsia" w:ascii="仿宋" w:hAnsi="仿宋" w:eastAsia="仿宋" w:cs="仿宋"/>
          <w:color w:val="000000"/>
          <w:szCs w:val="32"/>
        </w:rPr>
        <w:t xml:space="preserve">  受让人同意严格按照经政府部门批准产业准入要求、生态环境保护要求等使用土地。受让人违反上述要求的，依法接受相关部门处罚。</w:t>
      </w:r>
    </w:p>
    <w:p>
      <w:pPr>
        <w:widowControl w:val="0"/>
        <w:wordWrap/>
        <w:adjustRightInd/>
        <w:snapToGrid/>
        <w:spacing w:before="0" w:after="0" w:line="620" w:lineRule="exact"/>
        <w:ind w:left="0" w:leftChars="0" w:right="0" w:firstLine="640"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第四十一条</w:t>
      </w:r>
      <w:r>
        <w:rPr>
          <w:rFonts w:hint="eastAsia" w:ascii="仿宋" w:hAnsi="仿宋" w:eastAsia="仿宋" w:cs="仿宋"/>
          <w:color w:val="000000"/>
          <w:szCs w:val="32"/>
        </w:rPr>
        <w:t xml:space="preserve">  受让人按本合同约定支付集体经营性建设用地使用权出让价款的，出让人必须按照本合同约定按时交付出让土地。由于出让人未按时提供出让土地而致使受让人本合同项下受让宗地占有延期的，未造成土地闲置的，每延期一日，出让人同意按受让人已经支付的集体经营性建设用地使用权出让价款的万分之</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向受让人给付违约金。土地使用年期按本合同第七条有关约定起算。</w:t>
      </w:r>
    </w:p>
    <w:p>
      <w:pPr>
        <w:widowControl w:val="0"/>
        <w:wordWrap/>
        <w:adjustRightInd/>
        <w:snapToGrid/>
        <w:spacing w:before="0" w:after="0" w:line="62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出让人延期交付土地超过60日，经受让人催交后仍不能交付土地的，受让人有权解除合同，出让人同意双倍返还定金，并退还已经支付集体经营性建设用地使用权出让价款的其余部分，受让人并可请求出让人赔偿损失。</w:t>
      </w:r>
    </w:p>
    <w:p>
      <w:pPr>
        <w:widowControl w:val="0"/>
        <w:wordWrap/>
        <w:adjustRightInd/>
        <w:snapToGrid/>
        <w:spacing w:before="0" w:after="0" w:line="62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出让人延期交付土地造成土地闲置的，按本合同第三十五条有关约定办理。</w:t>
      </w:r>
    </w:p>
    <w:p>
      <w:pPr>
        <w:widowControl w:val="0"/>
        <w:wordWrap/>
        <w:adjustRightInd/>
        <w:snapToGrid/>
        <w:spacing w:before="0" w:after="0" w:line="620" w:lineRule="exact"/>
        <w:ind w:left="0" w:leftChars="0" w:right="0" w:firstLine="640" w:firstLineChars="200"/>
        <w:jc w:val="both"/>
        <w:textAlignment w:val="auto"/>
        <w:outlineLvl w:val="9"/>
        <w:rPr>
          <w:rFonts w:ascii="仿宋" w:hAnsi="仿宋" w:eastAsia="仿宋" w:cs="仿宋"/>
          <w:color w:val="000000"/>
          <w:szCs w:val="32"/>
        </w:rPr>
      </w:pPr>
      <w:r>
        <w:rPr>
          <w:rFonts w:hint="eastAsia" w:ascii="楷体" w:hAnsi="楷体" w:eastAsia="楷体" w:cs="楷体"/>
          <w:b/>
          <w:bCs/>
          <w:color w:val="000000"/>
          <w:szCs w:val="32"/>
        </w:rPr>
        <w:t xml:space="preserve">第四十二条 </w:t>
      </w:r>
      <w:r>
        <w:rPr>
          <w:rFonts w:hint="eastAsia" w:ascii="仿宋" w:hAnsi="仿宋" w:eastAsia="仿宋" w:cs="仿宋"/>
          <w:color w:val="000000"/>
          <w:szCs w:val="32"/>
        </w:rPr>
        <w:t xml:space="preserve"> 出让人未能按期交付土地或交付的土地未能达到本合同约定的土地条件或单方改变土地使用条件的，受让人有权要求出让人按照规定的条件履行义务，并且赔偿延误履行而给受让人造成的直接损失。土地使用年期按本合同第七条有关约定起算。</w:t>
      </w:r>
    </w:p>
    <w:p>
      <w:pPr>
        <w:widowControl w:val="0"/>
        <w:wordWrap/>
        <w:adjustRightInd/>
        <w:snapToGrid/>
        <w:spacing w:before="0" w:after="0" w:line="620" w:lineRule="exact"/>
        <w:ind w:left="0" w:leftChars="0" w:right="0" w:firstLine="640" w:firstLineChars="200"/>
        <w:jc w:val="both"/>
        <w:textAlignment w:val="auto"/>
        <w:outlineLvl w:val="9"/>
      </w:pPr>
      <w:r>
        <w:rPr>
          <w:rFonts w:hint="eastAsia" w:ascii="楷体" w:hAnsi="楷体" w:eastAsia="楷体" w:cs="楷体"/>
          <w:b/>
          <w:bCs/>
          <w:color w:val="000000"/>
          <w:szCs w:val="32"/>
        </w:rPr>
        <w:t>第四十三条</w:t>
      </w:r>
      <w:r>
        <w:rPr>
          <w:rFonts w:hint="eastAsia" w:ascii="仿宋" w:hAnsi="仿宋" w:eastAsia="仿宋" w:cs="仿宋"/>
          <w:bCs/>
          <w:color w:val="000000"/>
          <w:szCs w:val="32"/>
        </w:rPr>
        <w:t xml:space="preserve">  合同双方当事人对本合同项下宗地范围内项目投资额度、容积率、建筑密度、绿地率、行政办公和服务设施比例、土地闲置、乡（镇）村公共设施和公益事业建设等事项认定存在不一致时，双方同意由市（县）人民政府或其指定的部门、单位，或具有相应资质条件的第三方机构组织等开展评估认定，并以其评估认定结果为准。</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第八章  适用法律及争议解决</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第四十四条</w:t>
      </w:r>
      <w:r>
        <w:rPr>
          <w:rFonts w:hint="eastAsia" w:ascii="仿宋" w:hAnsi="仿宋" w:eastAsia="仿宋" w:cs="仿宋"/>
          <w:color w:val="000000"/>
          <w:szCs w:val="32"/>
        </w:rPr>
        <w:t xml:space="preserve">  本合同订立、效力、解释、履行及争议的解决，适用中华人民共和国法律。</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第四十五条</w:t>
      </w:r>
      <w:r>
        <w:rPr>
          <w:rFonts w:hint="eastAsia" w:ascii="仿宋" w:hAnsi="仿宋" w:eastAsia="仿宋" w:cs="仿宋"/>
          <w:color w:val="000000"/>
          <w:szCs w:val="32"/>
        </w:rPr>
        <w:t xml:space="preserve">  因履行本合同发生争议，双方协商解决，协商不成的，按本条第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项约定的方式解决：</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（一）提交</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仲裁委员会仲裁；</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（二）依法向人民法院提起诉讼；</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第九章  附 则</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第四十六条</w:t>
      </w:r>
      <w:r>
        <w:rPr>
          <w:rFonts w:hint="eastAsia" w:ascii="仿宋" w:hAnsi="仿宋" w:eastAsia="仿宋" w:cs="仿宋"/>
          <w:color w:val="000000"/>
          <w:szCs w:val="32"/>
        </w:rPr>
        <w:t xml:space="preserve">  本合同自双方签订之日起生效。本合同双方名称、通讯地址、电话、传真、开户银行、代理人等内容真实有效。如有变更，应于变更之日起15个工作日内以书面形式告知对方。因信息更新不及时告知产生的责任由信息变更方承担。</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第四十七条</w:t>
      </w:r>
      <w:r>
        <w:rPr>
          <w:rFonts w:hint="eastAsia" w:ascii="仿宋" w:hAnsi="仿宋" w:eastAsia="仿宋" w:cs="仿宋"/>
          <w:color w:val="000000"/>
          <w:szCs w:val="32"/>
        </w:rPr>
        <w:t xml:space="preserve">  本合同和附件共</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页，以中文书写为准。</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第四十八条</w:t>
      </w:r>
      <w:r>
        <w:rPr>
          <w:rFonts w:hint="eastAsia" w:ascii="仿宋" w:hAnsi="仿宋" w:eastAsia="仿宋" w:cs="仿宋"/>
          <w:color w:val="000000"/>
          <w:szCs w:val="32"/>
        </w:rPr>
        <w:t xml:space="preserve">  本合同的价款、金额、面积等项应当同时以大、小写表示，大小写数额应当一致，不一致的，以大写为准。</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第四十九条</w:t>
      </w:r>
      <w:r>
        <w:rPr>
          <w:rFonts w:hint="eastAsia" w:ascii="仿宋" w:hAnsi="仿宋" w:eastAsia="仿宋" w:cs="仿宋"/>
          <w:color w:val="000000"/>
          <w:szCs w:val="32"/>
        </w:rPr>
        <w:t xml:space="preserve">  本合同未尽事宜，可另立补充协议，补充协议与本合同不一致的，以补充协议为准，补充协议与本合同具有同等法律效力，并同时报市（县）人民政府自然资源主管部门备案。</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第五十条</w:t>
      </w:r>
      <w:r>
        <w:rPr>
          <w:rFonts w:hint="eastAsia" w:ascii="仿宋" w:hAnsi="仿宋" w:eastAsia="仿宋" w:cs="仿宋"/>
          <w:color w:val="000000"/>
          <w:szCs w:val="32"/>
        </w:rPr>
        <w:t xml:space="preserve">  本合同一式</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份，双方各执</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份，一份报市（县）人民政府自然资源主管部门备案，具有同等法律效力。</w:t>
      </w:r>
    </w:p>
    <w:p>
      <w:pPr>
        <w:spacing w:after="0" w:line="590" w:lineRule="exact"/>
        <w:ind w:firstLine="640" w:firstLineChars="200"/>
        <w:rPr>
          <w:rFonts w:ascii="仿宋" w:hAnsi="仿宋" w:eastAsia="仿宋" w:cs="仿宋"/>
          <w:color w:val="000000"/>
          <w:szCs w:val="32"/>
        </w:rPr>
      </w:pPr>
    </w:p>
    <w:p>
      <w:pPr>
        <w:spacing w:after="0" w:line="590" w:lineRule="exact"/>
        <w:rPr>
          <w:rFonts w:ascii="仿宋" w:hAnsi="仿宋" w:eastAsia="仿宋" w:cs="仿宋"/>
          <w:color w:val="000000"/>
          <w:szCs w:val="32"/>
        </w:rPr>
      </w:pPr>
      <w:r>
        <w:rPr>
          <w:rFonts w:hint="eastAsia" w:ascii="仿宋" w:hAnsi="仿宋" w:eastAsia="仿宋" w:cs="仿宋"/>
          <w:color w:val="000000"/>
          <w:szCs w:val="32"/>
        </w:rPr>
        <w:t xml:space="preserve">出让人（章）：               </w:t>
      </w:r>
      <w:r>
        <w:rPr>
          <w:rFonts w:hint="eastAsia" w:ascii="仿宋" w:hAnsi="仿宋" w:eastAsia="仿宋" w:cs="仿宋"/>
          <w:color w:val="000000"/>
          <w:szCs w:val="32"/>
          <w:lang w:val="en-US" w:eastAsia="zh-CN"/>
        </w:rPr>
        <w:t xml:space="preserve"> </w:t>
      </w:r>
      <w:r>
        <w:rPr>
          <w:rFonts w:hint="eastAsia" w:ascii="仿宋" w:hAnsi="仿宋" w:eastAsia="仿宋" w:cs="仿宋"/>
          <w:color w:val="000000"/>
          <w:szCs w:val="32"/>
        </w:rPr>
        <w:t xml:space="preserve">受让人（章）：                                      </w:t>
      </w:r>
    </w:p>
    <w:p>
      <w:pPr>
        <w:adjustRightInd w:val="0"/>
        <w:snapToGrid w:val="0"/>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w:t>
      </w:r>
    </w:p>
    <w:p>
      <w:pPr>
        <w:adjustRightInd w:val="0"/>
        <w:snapToGrid w:val="0"/>
        <w:spacing w:after="0" w:line="590" w:lineRule="exact"/>
        <w:ind w:firstLine="640" w:firstLineChars="200"/>
        <w:rPr>
          <w:rFonts w:ascii="仿宋" w:hAnsi="仿宋" w:eastAsia="仿宋" w:cs="仿宋"/>
          <w:color w:val="000000"/>
          <w:szCs w:val="32"/>
        </w:rPr>
      </w:pPr>
    </w:p>
    <w:p>
      <w:pPr>
        <w:adjustRightInd w:val="0"/>
        <w:snapToGrid w:val="0"/>
        <w:spacing w:after="0" w:line="590" w:lineRule="exact"/>
        <w:rPr>
          <w:rFonts w:ascii="仿宋" w:hAnsi="仿宋" w:eastAsia="仿宋" w:cs="仿宋"/>
          <w:color w:val="000000"/>
          <w:szCs w:val="32"/>
        </w:rPr>
      </w:pPr>
      <w:r>
        <w:rPr>
          <w:rFonts w:hint="eastAsia" w:ascii="仿宋" w:hAnsi="仿宋" w:eastAsia="仿宋" w:cs="仿宋"/>
          <w:color w:val="000000"/>
          <w:szCs w:val="32"/>
        </w:rPr>
        <w:t>法定代表人（委托代理人）：     法定代表人（委托代理人）：</w:t>
      </w:r>
    </w:p>
    <w:p>
      <w:pPr>
        <w:adjustRightInd w:val="0"/>
        <w:snapToGrid w:val="0"/>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(签字)：                      （签字）：</w:t>
      </w:r>
    </w:p>
    <w:p>
      <w:pPr>
        <w:adjustRightInd w:val="0"/>
        <w:snapToGrid w:val="0"/>
        <w:spacing w:after="0" w:line="590" w:lineRule="exact"/>
        <w:ind w:firstLine="640" w:firstLineChars="200"/>
        <w:rPr>
          <w:rFonts w:ascii="仿宋" w:hAnsi="仿宋" w:eastAsia="仿宋" w:cs="仿宋"/>
          <w:color w:val="000000"/>
          <w:szCs w:val="32"/>
        </w:rPr>
      </w:pP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w:t>
      </w:r>
    </w:p>
    <w:p>
      <w:pPr>
        <w:spacing w:after="0" w:line="590" w:lineRule="exact"/>
        <w:rPr>
          <w:rFonts w:ascii="仿宋" w:hAnsi="仿宋" w:eastAsia="仿宋" w:cs="仿宋"/>
          <w:color w:val="000000"/>
          <w:szCs w:val="32"/>
        </w:rPr>
      </w:pPr>
      <w:r>
        <w:rPr>
          <w:rFonts w:hint="eastAsia" w:ascii="仿宋" w:hAnsi="仿宋" w:eastAsia="仿宋" w:cs="仿宋"/>
          <w:color w:val="000000"/>
          <w:szCs w:val="32"/>
        </w:rPr>
        <w:t>备案单位（章）：</w:t>
      </w:r>
    </w:p>
    <w:p>
      <w:pPr>
        <w:spacing w:after="0" w:line="590" w:lineRule="exact"/>
        <w:ind w:firstLine="640" w:firstLineChars="200"/>
        <w:rPr>
          <w:rFonts w:ascii="仿宋" w:hAnsi="仿宋" w:eastAsia="仿宋" w:cs="仿宋"/>
          <w:color w:val="000000"/>
          <w:szCs w:val="32"/>
        </w:rPr>
      </w:pPr>
    </w:p>
    <w:p>
      <w:pPr>
        <w:spacing w:after="0" w:line="590" w:lineRule="exact"/>
        <w:rPr>
          <w:rFonts w:ascii="仿宋" w:hAnsi="仿宋" w:eastAsia="仿宋" w:cs="仿宋"/>
          <w:color w:val="000000"/>
          <w:szCs w:val="32"/>
        </w:rPr>
      </w:pPr>
      <w:r>
        <w:rPr>
          <w:rFonts w:hint="eastAsia" w:ascii="仿宋" w:hAnsi="仿宋" w:eastAsia="仿宋" w:cs="仿宋"/>
          <w:color w:val="000000"/>
          <w:szCs w:val="32"/>
        </w:rPr>
        <w:t xml:space="preserve">                        签订日期：</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w:t>
      </w:r>
    </w:p>
    <w:p>
      <w:pPr>
        <w:spacing w:after="0" w:line="590" w:lineRule="exact"/>
        <w:rPr>
          <w:rFonts w:ascii="仿宋" w:hAnsi="仿宋" w:eastAsia="仿宋" w:cs="仿宋"/>
          <w:b/>
          <w:bCs/>
          <w:color w:val="000000"/>
          <w:szCs w:val="32"/>
        </w:rPr>
      </w:pPr>
      <w:r>
        <w:rPr>
          <w:rFonts w:hint="eastAsia" w:ascii="仿宋" w:hAnsi="仿宋" w:eastAsia="仿宋" w:cs="仿宋"/>
          <w:color w:val="000000"/>
          <w:szCs w:val="32"/>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1</w:t>
      </w:r>
    </w:p>
    <w:p>
      <w:pPr>
        <w:pStyle w:val="6"/>
      </w:pPr>
    </w:p>
    <w:p>
      <w:pPr>
        <w:spacing w:after="0" w:line="59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出让宗地平面界址图</w:t>
      </w:r>
    </w:p>
    <w:p>
      <w:pPr>
        <w:ind w:firstLine="640" w:firstLineChars="200"/>
        <w:jc w:val="left"/>
        <w:rPr>
          <w:rFonts w:eastAsia="楷体_GB2312"/>
          <w:color w:val="000000"/>
          <w:szCs w:val="32"/>
        </w:rPr>
      </w:pPr>
      <w:r>
        <w:rPr>
          <w:rFonts w:eastAsia="楷体_GB2312"/>
          <w:color w:val="000000"/>
          <w:szCs w:val="32"/>
        </w:rPr>
        <w:t xml:space="preserve">                                       </w:t>
      </w:r>
    </w:p>
    <w:p>
      <w:pPr>
        <w:ind w:firstLine="640" w:firstLineChars="200"/>
        <w:jc w:val="left"/>
        <w:rPr>
          <w:rFonts w:eastAsia="楷体_GB2312"/>
          <w:color w:val="000000"/>
          <w:szCs w:val="32"/>
        </w:rPr>
      </w:pPr>
      <w:r>
        <w:rPr>
          <w:rFonts w:eastAsia="楷体_GB2312"/>
          <w:color w:val="000000"/>
          <w:szCs w:val="32"/>
        </w:rPr>
        <w:t xml:space="preserve">                                    北</w:t>
      </w:r>
      <w:r>
        <w:rPr>
          <w:rFonts w:eastAsia="楷体_GB2312"/>
          <w:color w:val="000000"/>
          <w:szCs w:val="32"/>
        </w:rPr>
        <w:fldChar w:fldCharType="begin" w:fldLock="1"/>
      </w:r>
      <w:r>
        <w:rPr>
          <w:rFonts w:eastAsia="楷体_GB2312"/>
          <w:color w:val="000000"/>
          <w:szCs w:val="32"/>
        </w:rPr>
        <w:instrText xml:space="preserve">ref  SHAPE  \* MERGEFORMAT </w:instrText>
      </w:r>
      <w:r>
        <w:rPr>
          <w:rFonts w:eastAsia="楷体_GB2312"/>
          <w:color w:val="000000"/>
          <w:szCs w:val="32"/>
        </w:rPr>
        <w:fldChar w:fldCharType="separate"/>
      </w:r>
      <w:r>
        <w:rPr>
          <w:rFonts w:ascii="Calibri" w:hAnsi="Calibri" w:eastAsia="楷体_GB2312" w:cs="Times New Roman"/>
          <w:color w:val="000000"/>
          <w:sz w:val="32"/>
          <w:szCs w:val="32"/>
          <w:lang w:val="en-US" w:eastAsia="zh-CN" w:bidi="ar-SA"/>
        </w:rPr>
        <w:pict>
          <v:group id="组合 1026" o:spid="_x0000_s1029" style="position:absolute;left:0;margin-left:0pt;margin-top:0.05pt;height:460.1pt;width:440.8pt;mso-position-horizontal-relative:char;mso-position-vertical-relative:line;rotation:0f;z-index:251658240;" coordorigin="0,0" coordsize="8280,7800">
            <o:lock v:ext="edit" position="f" selection="f" grouping="f" rotation="f" cropping="f" text="f"/>
            <v:shape id="Picture 3" o:spid="_x0000_s1030" type="#_x0000_t75" style="position:absolute;left:0;top:0;height:7800;width:8280;rotation:0f;" o:ole="f" fillcolor="#FFFFFF" filled="f" o:preferrelative="f" stroked="f" coordorigin="0,0" coordsize="21600,21600">
              <v:fill on="f" color2="#FFFFFF" focus="0%"/>
              <v:imagedata gain="65536f" blacklevel="0f" gamma="0"/>
              <o:lock v:ext="edit" position="f" selection="f" grouping="f" rotation="f" cropping="f" text="f" aspectratio="t"/>
            </v:shape>
            <v:line id="Line 4" o:spid="_x0000_s1031" style="position:absolute;left:7020;top:0;flip:y;height:780;width:1;rotation:0f;" o:ole="f" fillcolor="#FFFFFF" filled="f" o:preferrelative="t" stroked="t" coordsize="21600,21600">
              <v:fill on="f" color2="#FFFFFF" focus="0%"/>
              <v:stroke color="#000000" color2="#FFFFFF" miterlimit="2" dashstyle="longDash" endarrow="block"/>
              <v:imagedata gain="65536f" blacklevel="0f" gamma="0"/>
              <o:lock v:ext="edit" position="f" selection="f" grouping="f" rotation="f" cropping="f" text="f" aspectratio="f"/>
            </v:line>
            <v:shape id="Text Box 5" o:spid="_x0000_s1032" type="#_x0000_t202" style="position:absolute;left:180;top:2964;height:3593;width:900;rotation:0f;" o:ole="f" fillcolor="#FFFFFF" filled="t" o:preferrelative="t" stroked="f" coordorigin="0,0" coordsize="21600,21600">
              <v:imagedata gain="65536f" blacklevel="0f" gamma="0"/>
              <o:lock v:ext="edit" position="f" selection="f" grouping="f" rotation="f" cropping="f" text="f"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style="position:absolute;left:180;top:2884;height:2835;width:1;rotation:0f;" o:ole="f" fillcolor="#FFFFFF" filled="f" o:preferrelative="t" stroked="t" coordsize="21600,21600">
              <v:fill on="f" color2="#FFFFFF" focus="0%"/>
              <v:stroke color="#000000" color2="#FFFFFF" miterlimit="2" dashstyle="longDash"/>
              <v:imagedata gain="65536f" blacklevel="0f" gamma="0"/>
              <o:lock v:ext="edit" position="f" selection="f" grouping="f" rotation="f" cropping="f" text="f" aspectratio="f"/>
            </v:line>
            <w10:anchorlock/>
          </v:group>
        </w:pict>
      </w:r>
      <w:r>
        <w:rPr>
          <w:rFonts w:ascii="Calibri" w:hAnsi="Calibri" w:eastAsia="楷体_GB2312" w:cs="Times New Roman"/>
          <w:color w:val="000000"/>
          <w:sz w:val="32"/>
          <w:szCs w:val="32"/>
          <w:lang w:val="en-US" w:eastAsia="zh-CN" w:bidi="ar-SA"/>
        </w:rPr>
        <w:pict>
          <v:shape id="_x0000_i1025" o:spid="_x0000_s1034" type="#_x0000_t75" style="height:389.05pt;width:414pt;rotation:0f;" o:ole="f" fillcolor="#FFFFFF" filled="f" o:preferrelative="t" stroked="f" coordorigin="0,0" coordsize="21600,21600">
            <v:fill on="f" color2="#FFFFFF" focus="0%"/>
            <v:imagedata croptop="-65178f" cropbottom="65178f" gain="65536f" blacklevel="0f" gamma="0" o:title="08000001" r:id="rId19"/>
            <o:lock v:ext="edit" position="f" selection="f" grouping="f" rotation="f" cropping="f" text="f" aspectratio="t"/>
            <w10:wrap type="none"/>
            <w10:anchorlock/>
          </v:shape>
        </w:pict>
      </w:r>
      <w:r>
        <w:rPr>
          <w:rFonts w:eastAsia="楷体_GB2312"/>
          <w:color w:val="000000"/>
          <w:szCs w:val="32"/>
        </w:rPr>
        <w:fldChar w:fldCharType="end"/>
      </w:r>
    </w:p>
    <w:p>
      <w:pPr>
        <w:ind w:firstLine="640" w:firstLineChars="200"/>
        <w:jc w:val="left"/>
        <w:rPr>
          <w:rFonts w:eastAsia="楷体_GB2312"/>
          <w:color w:val="000000"/>
          <w:szCs w:val="32"/>
        </w:rPr>
      </w:pPr>
    </w:p>
    <w:p>
      <w:pPr>
        <w:ind w:firstLine="640" w:firstLineChars="200"/>
        <w:jc w:val="left"/>
        <w:rPr>
          <w:rFonts w:eastAsia="楷体_GB2312"/>
          <w:color w:val="000000"/>
          <w:szCs w:val="32"/>
          <w:u w:val="single"/>
        </w:rPr>
      </w:pPr>
      <w:r>
        <w:rPr>
          <w:rFonts w:eastAsia="楷体_GB2312"/>
          <w:color w:val="000000"/>
          <w:szCs w:val="32"/>
        </w:rPr>
        <w:t>比例尺：1：</w:t>
      </w:r>
      <w:r>
        <w:rPr>
          <w:rFonts w:eastAsia="楷体_GB2312"/>
          <w:color w:val="000000"/>
          <w:szCs w:val="32"/>
          <w:u w:val="single"/>
        </w:rPr>
        <w:t xml:space="preserve">               </w:t>
      </w:r>
    </w:p>
    <w:p>
      <w:pPr>
        <w:ind w:firstLine="640" w:firstLineChars="200"/>
        <w:jc w:val="left"/>
        <w:rPr>
          <w:rFonts w:eastAsia="楷体_GB2312"/>
          <w:color w:val="000000"/>
          <w:szCs w:val="32"/>
        </w:rPr>
        <w:sectPr>
          <w:pgSz w:w="11906" w:h="16838"/>
          <w:pgMar w:top="1871" w:right="1587" w:bottom="1871" w:left="1587" w:header="851" w:footer="1417" w:gutter="0"/>
          <w:pgBorders>
            <w:top w:val="none" w:color="auto" w:sz="0" w:space="0"/>
            <w:left w:val="none" w:color="auto" w:sz="0" w:space="0"/>
            <w:bottom w:val="none" w:color="auto" w:sz="0" w:space="0"/>
            <w:right w:val="none" w:color="auto" w:sz="0" w:space="0"/>
          </w:pgBorders>
          <w:cols w:space="720" w:num="1"/>
          <w:docGrid w:type="lines" w:linePitch="437" w:charSpace="0"/>
        </w:sectPr>
      </w:pPr>
    </w:p>
    <w:p>
      <w:pPr>
        <w:spacing w:after="0" w:line="590" w:lineRule="exact"/>
        <w:rPr>
          <w:rFonts w:ascii="仿宋" w:hAnsi="仿宋" w:eastAsia="仿宋" w:cs="仿宋"/>
          <w:b/>
          <w:bCs/>
          <w:color w:val="000000"/>
          <w:szCs w:val="32"/>
        </w:rPr>
      </w:pPr>
      <w:r>
        <w:rPr>
          <w:rFonts w:hint="eastAsia" w:ascii="黑体" w:hAnsi="黑体" w:eastAsia="黑体" w:cs="黑体"/>
          <w:color w:val="000000"/>
          <w:szCs w:val="32"/>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2</w:t>
      </w:r>
    </w:p>
    <w:p>
      <w:pPr>
        <w:pStyle w:val="6"/>
      </w:pPr>
    </w:p>
    <w:p>
      <w:pPr>
        <w:spacing w:after="0" w:line="600" w:lineRule="exact"/>
        <w:jc w:val="center"/>
        <w:rPr>
          <w:color w:val="000000"/>
        </w:rPr>
      </w:pPr>
      <w:r>
        <w:rPr>
          <w:rFonts w:hint="eastAsia" w:ascii="方正小标宋简体" w:hAnsi="方正小标宋简体" w:eastAsia="方正小标宋简体" w:cs="方正小标宋简体"/>
          <w:color w:val="000000"/>
          <w:sz w:val="40"/>
          <w:szCs w:val="40"/>
        </w:rPr>
        <w:t>出让宗地竖向界限</w:t>
      </w:r>
      <w:r>
        <w:rPr>
          <w:color w:val="000000"/>
        </w:rPr>
        <w:fldChar w:fldCharType="begin" w:fldLock="1"/>
      </w:r>
      <w:r>
        <w:rPr>
          <w:color w:val="000000"/>
        </w:rPr>
        <w:instrText xml:space="preserve">ref  SHAPE  \* MERGEFORMAT </w:instrText>
      </w:r>
      <w:r>
        <w:rPr>
          <w:color w:val="000000"/>
        </w:rPr>
        <w:fldChar w:fldCharType="separate"/>
      </w:r>
      <w:r>
        <w:rPr>
          <w:rFonts w:ascii="Calibri" w:hAnsi="Calibri" w:eastAsia="仿宋_GB2312" w:cs="Times New Roman"/>
          <w:color w:val="000000"/>
          <w:sz w:val="32"/>
          <w:szCs w:val="24"/>
          <w:lang w:val="en-US" w:eastAsia="zh-CN" w:bidi="ar-SA"/>
        </w:rPr>
        <w:pict>
          <v:group id="组合 1033" o:spid="_x0000_s1035" style="position:absolute;left:0;margin-left:0pt;margin-top:0pt;height:483.6pt;width:450pt;mso-position-horizontal-relative:char;mso-position-vertical-relative:line;rotation:0f;z-index:251659264;" coordorigin="0,0" coordsize="9000,9672">
            <o:lock v:ext="edit" position="f" selection="f" grouping="f" rotation="f" cropping="f" text="f"/>
            <v:shape id="图片 13" o:spid="_x0000_s1036" type="#_x0000_t75" style="position:absolute;left:0;top:0;height:9672;width:9000;rotation:0f;" o:ole="f" fillcolor="#FFFFFF" filled="f" o:preferrelative="f" stroked="f" coordorigin="0,0" coordsize="21600,21600">
              <v:fill on="f" color2="#FFFFFF" focus="0%"/>
              <v:imagedata gain="65536f" blacklevel="0f" gamma="0"/>
              <o:lock v:ext="edit" position="f" selection="f" grouping="f" rotation="f" cropping="f" text="f" aspectratio="t"/>
            </v:shape>
            <v:line id="直线 14" o:spid="_x0000_s1037" style="position:absolute;left:900;top:936;height:1;width:5940;rotation:0f;" o:ole="f" fillcolor="#FFFFFF" filled="f" o:preferrelative="t" stroked="t" coordsize="21600,21600">
              <v:fill on="f" color2="#FFFFFF" focus="0%"/>
              <v:stroke weight="1pt" color="#000000" color2="#FFFFFF" miterlimit="2"/>
              <v:imagedata gain="65536f" blacklevel="0f" gamma="0"/>
              <o:lock v:ext="edit" position="f" selection="f" grouping="f" rotation="f" cropping="f" text="f" aspectratio="f"/>
            </v:line>
            <v:line id="直线 15" o:spid="_x0000_s1038" style="position:absolute;left:885;top:936;height:8424;width:15;rotation:0f;" o:ole="f" fillcolor="#FFFFFF" filled="f" o:preferrelative="t" stroked="t" coordsize="21600,21600">
              <v:fill on="f" color2="#FFFFFF" focus="0%"/>
              <v:stroke weight="1pt" color="#000000" color2="#FFFFFF" miterlimit="2"/>
              <v:imagedata gain="65536f" blacklevel="0f" gamma="0"/>
              <o:lock v:ext="edit" position="f" selection="f" grouping="f" rotation="f" cropping="f" text="f" aspectratio="f"/>
            </v:line>
            <v:line id="直线 16" o:spid="_x0000_s1039" style="position:absolute;left:900;top:4992;height:0;width:6120;rotation:0f;" o:ole="f" fillcolor="#FFFFFF" filled="f" o:preferrelative="t" stroked="t" coordsize="21600,21600">
              <v:fill on="f" color2="#FFFFFF" focus="0%"/>
              <v:stroke weight="1pt" color="#000000" color2="#FFFFFF" miterlimit="2"/>
              <v:imagedata gain="65536f" blacklevel="0f" gamma="0"/>
              <o:lock v:ext="edit" position="f" selection="f" grouping="f" rotation="f" cropping="f" text="f" aspectratio="f"/>
            </v:line>
            <v:line id="直线 17" o:spid="_x0000_s1040" style="position:absolute;left:900;top:9360;height:0;width:6480;rotation:0f;" o:ole="f" fillcolor="#FFFFFF" filled="f" o:preferrelative="t" stroked="t" coordsize="21600,21600">
              <v:fill on="f" color2="#FFFFFF" focus="0%"/>
              <v:stroke weight="1pt" color="#000000" color2="#FFFFFF" miterlimit="2"/>
              <v:imagedata gain="65536f" blacklevel="0f" gamma="0"/>
              <o:lock v:ext="edit" position="f" selection="f" grouping="f" rotation="f" cropping="f" text="f" aspectratio="f"/>
            </v:line>
            <v:line id="直线 18" o:spid="_x0000_s1041" style="position:absolute;left:4500;top:933;height:4056;width:1;rotation:0f;" o:ole="f" fillcolor="#FFFFFF" filled="f" o:preferrelative="t" stroked="t" coordsize="21600,21600">
              <v:fill on="f" color2="#FFFFFF" focus="0%"/>
              <v:stroke color="#000000" color2="#FFFFFF" miterlimit="2" startarrow="block" endarrow="block"/>
              <v:imagedata gain="65536f" blacklevel="0f" gamma="0"/>
              <o:lock v:ext="edit" position="f" selection="f" grouping="f" rotation="f" cropping="f" text="f" aspectratio="f"/>
            </v:line>
            <v:line id="直线 19" o:spid="_x0000_s1042" style="position:absolute;left:4500;top:4992;height:4368;width:0;rotation:0f;" o:ole="f" fillcolor="#FFFFFF" filled="f" o:preferrelative="t" stroked="t" coordsize="21600,21600">
              <v:fill on="f" color2="#FFFFFF" focus="0%"/>
              <v:stroke color="#000000" color2="#FFFFFF" miterlimit="2" startarrow="block" endarrow="block"/>
              <v:imagedata gain="65536f" blacklevel="0f" gamma="0"/>
              <o:lock v:ext="edit" position="f" selection="f" grouping="f" rotation="f" cropping="f" text="f" aspectratio="f"/>
            </v:line>
            <v:shape id="文本框 20" o:spid="_x0000_s1043" type="#_x0000_t202" style="position:absolute;left:6120;top:545;height:780;width:2880;rotation:0f;" o:ole="f" fillcolor="#FFFFFF" filled="t" o:preferrelative="t" stroked="f" coordorigin="0,0" coordsize="21600,21600">
              <v:imagedata gain="65536f" blacklevel="0f" gamma="0"/>
              <o:lock v:ext="edit" position="f" selection="f" grouping="f" rotation="f" cropping="f" text="f" aspectratio="f"/>
              <v:textbox>
                <w:txbxContent>
                  <w:p>
                    <w:pPr>
                      <w:rPr>
                        <w:rFonts w:ascii="楷体_GB2312" w:eastAsia="楷体_GB2312"/>
                        <w:b/>
                        <w:sz w:val="30"/>
                        <w:szCs w:val="30"/>
                      </w:rPr>
                    </w:pPr>
                    <w:r>
                      <w:rPr>
                        <w:rFonts w:hint="eastAsia" w:ascii="楷体_GB2312" w:eastAsia="楷体_GB2312" w:cs="楷体_GB2312"/>
                        <w:b/>
                        <w:sz w:val="30"/>
                        <w:szCs w:val="30"/>
                      </w:rPr>
                      <w:t>上界限高程</w:t>
                    </w:r>
                  </w:p>
                </w:txbxContent>
              </v:textbox>
            </v:shape>
            <v:shape id="文本框 21" o:spid="_x0000_s1044" type="#_x0000_t202" style="position:absolute;left:6120;top:4584;height:780;width:2880;rotation:0f;" o:ole="f" fillcolor="#FFFFFF" filled="t" o:preferrelative="t" stroked="f" coordorigin="0,0" coordsize="21600,21600">
              <v:imagedata gain="65536f" blacklevel="0f" gamma="0"/>
              <o:lock v:ext="edit" position="f" selection="f" grouping="f" rotation="f" cropping="f" text="f" aspectratio="f"/>
              <v:textbox>
                <w:txbxContent>
                  <w:p>
                    <w:pPr>
                      <w:rPr>
                        <w:rFonts w:ascii="楷体_GB2312" w:eastAsia="楷体_GB2312"/>
                        <w:b/>
                        <w:sz w:val="30"/>
                        <w:szCs w:val="30"/>
                      </w:rPr>
                    </w:pPr>
                    <w:r>
                      <w:rPr>
                        <w:rFonts w:hint="eastAsia" w:ascii="楷体_GB2312" w:eastAsia="楷体_GB2312" w:cs="楷体_GB2312"/>
                        <w:b/>
                        <w:sz w:val="30"/>
                        <w:szCs w:val="30"/>
                      </w:rPr>
                      <w:t>高程起算基点</w:t>
                    </w:r>
                  </w:p>
                </w:txbxContent>
              </v:textbox>
            </v:shape>
            <v:line id="直线 22" o:spid="_x0000_s1045" style="position:absolute;left:108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23" o:spid="_x0000_s1046" style="position:absolute;left:132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24" o:spid="_x0000_s1047" style="position:absolute;left:156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25" o:spid="_x0000_s1048" style="position:absolute;left:180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26" o:spid="_x0000_s1049" style="position:absolute;left:204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27" o:spid="_x0000_s1050" style="position:absolute;left:228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28" o:spid="_x0000_s1051" style="position:absolute;left:252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29" o:spid="_x0000_s1052" style="position:absolute;left:276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30" o:spid="_x0000_s1053" style="position:absolute;left:298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31" o:spid="_x0000_s1054" style="position:absolute;left:322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32" o:spid="_x0000_s1055" style="position:absolute;left:346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33" o:spid="_x0000_s1056" style="position:absolute;left:370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34" o:spid="_x0000_s1057" style="position:absolute;left:394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35" o:spid="_x0000_s1058" style="position:absolute;left:418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36" o:spid="_x0000_s1059" style="position:absolute;left:442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37" o:spid="_x0000_s1060" style="position:absolute;left:4660;top:499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38" o:spid="_x0000_s1061" style="position:absolute;left:4880;top:501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39" o:spid="_x0000_s1062" style="position:absolute;left:5120;top:501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40" o:spid="_x0000_s1063" style="position:absolute;left:5360;top:501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41" o:spid="_x0000_s1064" style="position:absolute;left:5600;top:501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42" o:spid="_x0000_s1065" style="position:absolute;left:5840;top:5012;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线 43" o:spid="_x0000_s1066" style="position:absolute;left:900;top:4987;flip:y;height:156;width:1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shape id="文本框 44" o:spid="_x0000_s1067" type="#_x0000_t202" style="position:absolute;left:4710;top:2601;height:780;width:2520;rotation:0f;" o:ole="f" fillcolor="#FFFFFF" filled="t" o:preferrelative="t" stroked="f" coordorigin="0,0" coordsize="21600,21600">
              <v:imagedata gain="65536f" blacklevel="0f" gamma="0"/>
              <o:lock v:ext="edit" position="f" selection="f" grouping="f" rotation="f" cropping="f" text="f" aspectratio="f"/>
              <v:textbox>
                <w:txbxContent>
                  <w:p>
                    <w:r>
                      <w:t>h=   m</w:t>
                    </w:r>
                  </w:p>
                </w:txbxContent>
              </v:textbox>
            </v:shape>
            <v:shape id="文本框 45" o:spid="_x0000_s1068" type="#_x0000_t202" style="position:absolute;left:4710;top:6861;height:780;width:2520;rotation:0f;" o:ole="f" fillcolor="#FFFFFF" filled="t" o:preferrelative="t" stroked="f" coordorigin="0,0" coordsize="21600,21600">
              <v:imagedata gain="65536f" blacklevel="0f" gamma="0"/>
              <o:lock v:ext="edit" position="f" selection="f" grouping="f" rotation="f" cropping="f" text="f" aspectratio="f"/>
              <v:textbox>
                <w:txbxContent>
                  <w:p>
                    <w:r>
                      <w:t>h=   m</w:t>
                    </w:r>
                  </w:p>
                </w:txbxContent>
              </v:textbox>
            </v:shape>
          </v:group>
        </w:pict>
      </w:r>
      <w:r>
        <w:rPr>
          <w:rFonts w:ascii="Calibri" w:hAnsi="Calibri" w:eastAsia="黑体" w:cs="Times New Roman"/>
          <w:color w:val="000000"/>
          <w:sz w:val="36"/>
          <w:szCs w:val="36"/>
          <w:lang w:val="en-US" w:eastAsia="zh-CN" w:bidi="ar-SA"/>
        </w:rPr>
        <w:pict>
          <v:shape id="_x0000_i1026" o:spid="_x0000_s1069" type="#_x0000_t75" style="height:482.05pt;width:450pt;rotation:0f;" o:ole="f" fillcolor="#FFFFFF" filled="f" o:preferrelative="t" stroked="f" coordorigin="0,0" coordsize="21600,21600">
            <v:fill on="f" color2="#FFFFFF" focus="0%"/>
            <v:imagedata croptop="-65178f" cropbottom="65178f" gain="65536f" blacklevel="0f" gamma="0" o:title="08000001" r:id="rId19"/>
            <o:lock v:ext="edit" position="f" selection="f" grouping="f" rotation="f" cropping="f" text="f" aspectratio="t"/>
            <w10:wrap type="none"/>
            <w10:anchorlock/>
          </v:shape>
        </w:pict>
      </w:r>
      <w:r>
        <w:rPr>
          <w:color w:val="000000"/>
        </w:rPr>
        <w:fldChar w:fldCharType="end"/>
      </w:r>
    </w:p>
    <w:p>
      <w:pPr>
        <w:pStyle w:val="6"/>
        <w:rPr>
          <w:rFonts w:eastAsia="黑体"/>
          <w:color w:val="000000"/>
          <w:sz w:val="36"/>
          <w:szCs w:val="36"/>
        </w:rPr>
      </w:pPr>
    </w:p>
    <w:p>
      <w:pPr>
        <w:rPr>
          <w:rFonts w:eastAsia="黑体"/>
          <w:color w:val="000000"/>
          <w:sz w:val="36"/>
          <w:szCs w:val="36"/>
        </w:rPr>
      </w:pPr>
    </w:p>
    <w:p>
      <w:pPr>
        <w:pStyle w:val="6"/>
        <w:rPr>
          <w:rFonts w:eastAsia="黑体"/>
          <w:color w:val="000000"/>
          <w:sz w:val="36"/>
          <w:szCs w:val="36"/>
        </w:rPr>
      </w:pPr>
    </w:p>
    <w:p>
      <w:pPr>
        <w:rPr>
          <w:rFonts w:eastAsia="黑体"/>
          <w:color w:val="000000"/>
          <w:sz w:val="36"/>
          <w:szCs w:val="36"/>
        </w:rPr>
      </w:pPr>
    </w:p>
    <w:p>
      <w:pPr>
        <w:pStyle w:val="6"/>
        <w:rPr>
          <w:rFonts w:eastAsia="黑体"/>
          <w:color w:val="000000"/>
          <w:sz w:val="36"/>
          <w:szCs w:val="36"/>
        </w:rPr>
      </w:pPr>
    </w:p>
    <w:p>
      <w:pPr>
        <w:rPr>
          <w:rFonts w:eastAsia="黑体"/>
          <w:color w:val="000000"/>
          <w:sz w:val="36"/>
          <w:szCs w:val="36"/>
        </w:rPr>
      </w:pPr>
    </w:p>
    <w:p>
      <w:pPr>
        <w:pStyle w:val="6"/>
        <w:rPr>
          <w:rFonts w:eastAsia="黑体"/>
          <w:color w:val="000000"/>
          <w:sz w:val="36"/>
          <w:szCs w:val="36"/>
        </w:rPr>
      </w:pPr>
    </w:p>
    <w:p>
      <w:pPr>
        <w:rPr>
          <w:rFonts w:eastAsia="黑体"/>
          <w:color w:val="000000"/>
          <w:sz w:val="36"/>
          <w:szCs w:val="36"/>
        </w:rPr>
      </w:pPr>
    </w:p>
    <w:p>
      <w:pPr>
        <w:jc w:val="left"/>
        <w:rPr>
          <w:rFonts w:eastAsia="楷体_GB2312"/>
          <w:color w:val="000000"/>
          <w:sz w:val="30"/>
          <w:szCs w:val="30"/>
        </w:rPr>
      </w:pPr>
    </w:p>
    <w:p>
      <w:pPr>
        <w:widowControl w:val="0"/>
        <w:wordWrap/>
        <w:adjustRightInd/>
        <w:snapToGrid/>
        <w:spacing w:before="0" w:after="160" w:line="200" w:lineRule="exact"/>
        <w:ind w:left="0" w:leftChars="0" w:right="0" w:firstLine="0" w:firstLineChars="0"/>
        <w:jc w:val="left"/>
        <w:textAlignment w:val="auto"/>
        <w:outlineLvl w:val="9"/>
        <w:rPr>
          <w:rFonts w:eastAsia="楷体_GB2312"/>
          <w:color w:val="000000"/>
          <w:sz w:val="30"/>
          <w:szCs w:val="30"/>
        </w:rPr>
      </w:pPr>
    </w:p>
    <w:p>
      <w:pPr>
        <w:jc w:val="left"/>
        <w:rPr>
          <w:rFonts w:eastAsia="楷体_GB2312"/>
          <w:color w:val="000000"/>
          <w:sz w:val="30"/>
          <w:szCs w:val="30"/>
          <w:u w:val="single"/>
        </w:rPr>
      </w:pPr>
      <w:r>
        <w:rPr>
          <w:rFonts w:eastAsia="楷体_GB2312"/>
          <w:color w:val="000000"/>
          <w:sz w:val="30"/>
          <w:szCs w:val="30"/>
        </w:rPr>
        <w:t>采用的高程系：</w:t>
      </w:r>
      <w:r>
        <w:rPr>
          <w:rFonts w:eastAsia="楷体_GB2312"/>
          <w:color w:val="000000"/>
          <w:sz w:val="30"/>
          <w:szCs w:val="30"/>
          <w:u w:val="single"/>
        </w:rPr>
        <w:t xml:space="preserve">              </w:t>
      </w:r>
    </w:p>
    <w:p>
      <w:pPr>
        <w:jc w:val="left"/>
        <w:rPr>
          <w:color w:val="000000"/>
        </w:rPr>
      </w:pPr>
      <w:r>
        <w:rPr>
          <w:color w:val="000000"/>
        </w:rPr>
        <w:t>比例尺：1：</w:t>
      </w:r>
    </w:p>
    <w:p>
      <w:pPr>
        <w:jc w:val="left"/>
        <w:rPr>
          <w:rFonts w:eastAsia="黑体"/>
          <w:color w:val="000000"/>
          <w:sz w:val="36"/>
        </w:rPr>
      </w:pPr>
      <w:r>
        <w:rPr>
          <w:rFonts w:eastAsia="黑体"/>
          <w:color w:val="000000"/>
          <w:sz w:val="36"/>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3</w:t>
      </w:r>
    </w:p>
    <w:p>
      <w:pPr>
        <w:pStyle w:val="12"/>
        <w:spacing w:beforeLines="100" w:afterLines="100" w:line="60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市（县）自然资源主管部门确定的宗地规划条件</w:t>
      </w:r>
    </w:p>
    <w:p>
      <w:pPr>
        <w:pStyle w:val="12"/>
        <w:jc w:val="left"/>
        <w:rPr>
          <w:rFonts w:ascii="Times New Roman" w:hAnsi="Times New Roman" w:eastAsia="黑体" w:cs="Times New Roman"/>
          <w:color w:val="000000"/>
          <w:sz w:val="36"/>
        </w:rPr>
      </w:pPr>
      <w:r>
        <w:rPr>
          <w:rFonts w:ascii="Times New Roman" w:hAnsi="Times New Roman" w:eastAsia="黑体" w:cs="Times New Roman"/>
          <w:color w:val="000000"/>
          <w:sz w:val="36"/>
          <w:szCs w:val="24"/>
        </w:rPr>
        <w:br w:type="page"/>
      </w:r>
      <w:r>
        <w:rPr>
          <w:rFonts w:hint="eastAsia" w:ascii="黑体" w:hAnsi="黑体" w:eastAsia="黑体" w:cs="黑体"/>
          <w:color w:val="000000"/>
        </w:rPr>
        <w:t>附件</w:t>
      </w:r>
      <w:r>
        <w:rPr>
          <w:rFonts w:hint="eastAsia" w:ascii="仿宋" w:hAnsi="仿宋" w:eastAsia="仿宋" w:cs="仿宋"/>
          <w:b/>
          <w:bCs/>
          <w:color w:val="000000"/>
        </w:rPr>
        <w:t>4</w:t>
      </w:r>
    </w:p>
    <w:p>
      <w:pPr>
        <w:pStyle w:val="12"/>
        <w:spacing w:beforeLines="100" w:afterLines="100" w:line="600" w:lineRule="exact"/>
        <w:jc w:val="center"/>
        <w:rPr>
          <w:rFonts w:ascii="方正小标宋简体" w:hAnsi="方正小标宋简体" w:eastAsia="方正小标宋简体" w:cs="方正小标宋简体"/>
          <w:color w:val="000000"/>
          <w:spacing w:val="-6"/>
          <w:sz w:val="40"/>
          <w:szCs w:val="40"/>
        </w:rPr>
      </w:pPr>
      <w:r>
        <w:rPr>
          <w:rFonts w:hint="eastAsia" w:ascii="方正小标宋简体" w:hAnsi="方正小标宋简体" w:eastAsia="方正小标宋简体" w:cs="方正小标宋简体"/>
          <w:color w:val="000000"/>
          <w:spacing w:val="-6"/>
          <w:sz w:val="40"/>
          <w:szCs w:val="40"/>
        </w:rPr>
        <w:t>市（县）发展改革主管部门确定的宗地产业准入要求</w:t>
      </w:r>
    </w:p>
    <w:p>
      <w:pPr>
        <w:spacing w:beforeLines="100" w:afterLines="100" w:line="600" w:lineRule="exact"/>
        <w:jc w:val="center"/>
        <w:rPr>
          <w:rFonts w:ascii="方正小标宋简体" w:hAnsi="方正小标宋简体" w:eastAsia="方正小标宋简体" w:cs="方正小标宋简体"/>
          <w:color w:val="000000"/>
          <w:spacing w:val="-6"/>
          <w:sz w:val="40"/>
          <w:szCs w:val="40"/>
        </w:rPr>
        <w:sectPr>
          <w:footerReference r:id="rId10" w:type="default"/>
          <w:footerReference r:id="rId11" w:type="even"/>
          <w:type w:val="continuous"/>
          <w:pgSz w:w="11906" w:h="16838"/>
          <w:pgMar w:top="1871" w:right="1587" w:bottom="1871" w:left="1587" w:header="851" w:footer="1417" w:gutter="0"/>
          <w:pgBorders>
            <w:top w:val="none" w:color="auto" w:sz="0" w:space="0"/>
            <w:left w:val="none" w:color="auto" w:sz="0" w:space="0"/>
            <w:bottom w:val="none" w:color="auto" w:sz="0" w:space="0"/>
            <w:right w:val="none" w:color="auto" w:sz="0" w:space="0"/>
          </w:pgBorders>
          <w:cols w:space="720" w:num="1"/>
          <w:docGrid w:type="lines" w:linePitch="437" w:charSpace="0"/>
        </w:sectPr>
      </w:pPr>
    </w:p>
    <w:p>
      <w:pPr>
        <w:pStyle w:val="12"/>
        <w:spacing w:beforeLines="100"/>
        <w:jc w:val="left"/>
        <w:rPr>
          <w:rFonts w:ascii="仿宋" w:hAnsi="仿宋" w:eastAsia="仿宋" w:cs="仿宋"/>
          <w:b/>
          <w:bCs/>
          <w:color w:val="000000"/>
        </w:rPr>
      </w:pPr>
      <w:r>
        <w:rPr>
          <w:rFonts w:hint="eastAsia" w:ascii="黑体" w:hAnsi="黑体" w:eastAsia="黑体" w:cs="黑体"/>
          <w:color w:val="000000"/>
        </w:rPr>
        <w:t>附件</w:t>
      </w:r>
      <w:r>
        <w:rPr>
          <w:rFonts w:hint="eastAsia" w:ascii="仿宋" w:hAnsi="仿宋" w:eastAsia="仿宋" w:cs="仿宋"/>
          <w:b/>
          <w:bCs/>
          <w:color w:val="000000"/>
        </w:rPr>
        <w:t>5</w:t>
      </w:r>
    </w:p>
    <w:p>
      <w:pPr>
        <w:pStyle w:val="12"/>
        <w:spacing w:after="0" w:line="60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市（县）生态环境主管部门确定的宗地生态环境</w:t>
      </w:r>
    </w:p>
    <w:p>
      <w:pPr>
        <w:pStyle w:val="12"/>
        <w:spacing w:after="0" w:line="60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保护要求</w:t>
      </w:r>
    </w:p>
    <w:p>
      <w:pPr>
        <w:jc w:val="left"/>
        <w:rPr>
          <w:rFonts w:eastAsia="黑体"/>
          <w:color w:val="000000"/>
          <w:sz w:val="36"/>
        </w:rPr>
      </w:pPr>
    </w:p>
    <w:p>
      <w:pPr>
        <w:pStyle w:val="12"/>
        <w:jc w:val="left"/>
        <w:rPr>
          <w:rFonts w:ascii="Times New Roman" w:hAnsi="Times New Roman" w:eastAsia="黑体" w:cs="Times New Roman"/>
          <w:color w:val="000000"/>
          <w:sz w:val="36"/>
          <w:szCs w:val="24"/>
        </w:rPr>
      </w:pPr>
    </w:p>
    <w:p>
      <w:pPr>
        <w:jc w:val="left"/>
        <w:rPr>
          <w:rFonts w:eastAsia="黑体"/>
          <w:color w:val="000000"/>
          <w:sz w:val="36"/>
        </w:rPr>
      </w:pPr>
    </w:p>
    <w:p>
      <w:pPr>
        <w:jc w:val="left"/>
        <w:rPr>
          <w:rFonts w:ascii="仿宋" w:hAnsi="仿宋" w:eastAsia="仿宋" w:cs="仿宋"/>
          <w:color w:val="000000"/>
          <w:szCs w:val="32"/>
        </w:rPr>
      </w:pPr>
    </w:p>
    <w:p>
      <w:pPr>
        <w:widowControl/>
        <w:spacing w:line="360" w:lineRule="auto"/>
      </w:pPr>
      <w:r>
        <w:rPr>
          <w:rFonts w:hint="eastAsia"/>
          <w:color w:val="000000"/>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6</w:t>
      </w:r>
    </w:p>
    <w:p>
      <w:pPr>
        <w:widowControl/>
        <w:spacing w:after="0" w:line="60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莆田市荔城区集体经营性建设用地交地确认书</w:t>
      </w:r>
    </w:p>
    <w:p>
      <w:pPr>
        <w:widowControl w:val="0"/>
        <w:wordWrap/>
        <w:adjustRightInd/>
        <w:snapToGrid/>
        <w:spacing w:before="0" w:after="0" w:line="550" w:lineRule="exact"/>
        <w:ind w:left="0" w:leftChars="0" w:right="0" w:firstLine="640" w:firstLineChars="200"/>
        <w:jc w:val="both"/>
        <w:textAlignment w:val="auto"/>
        <w:outlineLvl w:val="9"/>
        <w:rPr>
          <w:rFonts w:ascii="仿宋" w:hAnsi="仿宋" w:eastAsia="仿宋" w:cs="仿宋"/>
          <w:color w:val="000000"/>
          <w:szCs w:val="32"/>
        </w:rPr>
      </w:pPr>
    </w:p>
    <w:p>
      <w:pPr>
        <w:widowControl w:val="0"/>
        <w:wordWrap/>
        <w:adjustRightInd/>
        <w:snapToGrid/>
        <w:spacing w:before="0" w:after="0" w:line="550" w:lineRule="exact"/>
        <w:ind w:left="0" w:leftChars="0" w:right="0"/>
        <w:jc w:val="both"/>
        <w:textAlignment w:val="auto"/>
        <w:outlineLvl w:val="9"/>
        <w:rPr>
          <w:rFonts w:ascii="仿宋" w:hAnsi="仿宋" w:eastAsia="仿宋" w:cs="仿宋"/>
          <w:color w:val="000000"/>
          <w:szCs w:val="32"/>
        </w:rPr>
      </w:pPr>
      <w:r>
        <w:rPr>
          <w:rFonts w:hint="eastAsia" w:ascii="仿宋" w:hAnsi="仿宋" w:eastAsia="仿宋" w:cs="仿宋"/>
          <w:bCs/>
          <w:color w:val="000000"/>
          <w:szCs w:val="32"/>
        </w:rPr>
        <w:t>甲方：</w:t>
      </w:r>
      <w:r>
        <w:rPr>
          <w:rFonts w:hint="eastAsia" w:ascii="仿宋" w:hAnsi="仿宋" w:eastAsia="仿宋" w:cs="仿宋"/>
          <w:color w:val="000000"/>
          <w:szCs w:val="32"/>
          <w:u w:val="single"/>
        </w:rPr>
        <w:t>（出让人）</w:t>
      </w:r>
    </w:p>
    <w:p>
      <w:pPr>
        <w:widowControl w:val="0"/>
        <w:wordWrap/>
        <w:adjustRightInd/>
        <w:snapToGrid/>
        <w:spacing w:before="0" w:after="0" w:line="550" w:lineRule="exact"/>
        <w:ind w:left="0" w:leftChars="0" w:right="0"/>
        <w:jc w:val="both"/>
        <w:textAlignment w:val="auto"/>
        <w:outlineLvl w:val="9"/>
        <w:rPr>
          <w:rFonts w:ascii="仿宋" w:hAnsi="仿宋" w:eastAsia="仿宋" w:cs="仿宋"/>
          <w:bCs/>
          <w:color w:val="000000"/>
          <w:szCs w:val="32"/>
        </w:rPr>
      </w:pPr>
      <w:r>
        <w:rPr>
          <w:rFonts w:hint="eastAsia" w:ascii="仿宋" w:hAnsi="仿宋" w:eastAsia="仿宋" w:cs="仿宋"/>
          <w:bCs/>
          <w:color w:val="000000"/>
          <w:szCs w:val="32"/>
        </w:rPr>
        <w:t>乙方：</w:t>
      </w:r>
      <w:r>
        <w:rPr>
          <w:rFonts w:hint="eastAsia" w:ascii="仿宋" w:hAnsi="仿宋" w:eastAsia="仿宋" w:cs="仿宋"/>
          <w:bCs/>
          <w:color w:val="000000"/>
          <w:szCs w:val="32"/>
          <w:u w:val="single"/>
        </w:rPr>
        <w:t>（受让人）</w:t>
      </w:r>
    </w:p>
    <w:p>
      <w:pPr>
        <w:widowControl w:val="0"/>
        <w:wordWrap/>
        <w:adjustRightInd/>
        <w:snapToGrid/>
        <w:spacing w:before="0" w:after="0" w:line="55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为真实记载交地的实际情况，进一步明确甲乙双方的权利义务，签订本确认书：</w:t>
      </w:r>
    </w:p>
    <w:p>
      <w:pPr>
        <w:widowControl w:val="0"/>
        <w:wordWrap/>
        <w:adjustRightInd/>
        <w:snapToGrid/>
        <w:spacing w:before="0" w:after="0" w:line="550" w:lineRule="exact"/>
        <w:ind w:left="0" w:leftChars="0" w:right="0" w:firstLine="640" w:firstLineChars="200"/>
        <w:jc w:val="both"/>
        <w:textAlignment w:val="auto"/>
        <w:outlineLvl w:val="9"/>
        <w:rPr>
          <w:rFonts w:ascii="仿宋" w:hAnsi="仿宋" w:eastAsia="仿宋" w:cs="仿宋"/>
          <w:color w:val="000000"/>
          <w:szCs w:val="32"/>
        </w:rPr>
      </w:pPr>
      <w:r>
        <w:rPr>
          <w:rFonts w:hint="eastAsia" w:ascii="黑体" w:hAnsi="黑体" w:eastAsia="黑体" w:cs="黑体"/>
          <w:color w:val="000000"/>
          <w:szCs w:val="32"/>
        </w:rPr>
        <w:t>第</w:t>
      </w:r>
      <w:r>
        <w:rPr>
          <w:rFonts w:hint="eastAsia" w:ascii="黑体" w:hAnsi="黑体" w:eastAsia="黑体" w:cs="黑体"/>
          <w:bCs/>
          <w:color w:val="000000"/>
          <w:szCs w:val="32"/>
        </w:rPr>
        <w:t>一条</w:t>
      </w:r>
      <w:r>
        <w:rPr>
          <w:rFonts w:hint="eastAsia" w:ascii="仿宋" w:hAnsi="仿宋" w:eastAsia="仿宋" w:cs="仿宋"/>
          <w:bCs/>
          <w:color w:val="000000"/>
          <w:szCs w:val="32"/>
        </w:rPr>
        <w:t xml:space="preserve">  </w:t>
      </w:r>
      <w:r>
        <w:rPr>
          <w:rFonts w:hint="eastAsia" w:ascii="仿宋" w:hAnsi="仿宋" w:eastAsia="仿宋" w:cs="仿宋"/>
          <w:color w:val="000000"/>
          <w:szCs w:val="32"/>
        </w:rPr>
        <w:t>根据甲乙双方签订的《莆田市荔城区集体经营性建设用地使用权出让合同》(合同编号：</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，电子监管号：）第</w:t>
      </w:r>
      <w:r>
        <w:rPr>
          <w:rFonts w:hint="eastAsia" w:ascii="仿宋" w:hAnsi="仿宋" w:eastAsia="仿宋" w:cs="仿宋"/>
          <w:color w:val="000000"/>
          <w:szCs w:val="32"/>
          <w:u w:val="single"/>
        </w:rPr>
        <w:t>八</w:t>
      </w:r>
      <w:r>
        <w:rPr>
          <w:rFonts w:hint="eastAsia" w:ascii="仿宋" w:hAnsi="仿宋" w:eastAsia="仿宋" w:cs="仿宋"/>
          <w:color w:val="000000"/>
          <w:szCs w:val="32"/>
        </w:rPr>
        <w:t>条约定，甲方应于2024年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日将宗地编号为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的出让宗地交付给乙方,甲方已于2024年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日将该宗地实际交付给乙方。</w:t>
      </w:r>
    </w:p>
    <w:p>
      <w:pPr>
        <w:widowControl w:val="0"/>
        <w:wordWrap/>
        <w:adjustRightInd/>
        <w:snapToGrid/>
        <w:spacing w:before="0" w:after="0" w:line="550" w:lineRule="exact"/>
        <w:ind w:left="0" w:leftChars="0" w:right="0" w:firstLine="640" w:firstLineChars="200"/>
        <w:jc w:val="both"/>
        <w:textAlignment w:val="auto"/>
        <w:outlineLvl w:val="9"/>
        <w:rPr>
          <w:rFonts w:ascii="仿宋" w:hAnsi="仿宋" w:eastAsia="仿宋" w:cs="仿宋"/>
          <w:color w:val="000000"/>
          <w:szCs w:val="32"/>
        </w:rPr>
      </w:pPr>
      <w:r>
        <w:rPr>
          <w:rFonts w:hint="eastAsia" w:ascii="黑体" w:hAnsi="黑体" w:eastAsia="黑体" w:cs="黑体"/>
          <w:color w:val="000000"/>
          <w:szCs w:val="32"/>
        </w:rPr>
        <w:t xml:space="preserve">第二条 </w:t>
      </w:r>
      <w:r>
        <w:rPr>
          <w:rFonts w:hint="eastAsia" w:ascii="仿宋" w:hAnsi="仿宋" w:eastAsia="仿宋" w:cs="仿宋"/>
          <w:bCs/>
          <w:color w:val="000000"/>
          <w:szCs w:val="32"/>
        </w:rPr>
        <w:t xml:space="preserve"> </w:t>
      </w:r>
      <w:r>
        <w:rPr>
          <w:rFonts w:hint="eastAsia" w:ascii="仿宋" w:hAnsi="仿宋" w:eastAsia="仿宋" w:cs="仿宋"/>
          <w:color w:val="000000"/>
          <w:szCs w:val="32"/>
        </w:rPr>
        <w:t>经甲乙双方现场勘测、确认，实际交地情况如下所述：</w:t>
      </w:r>
    </w:p>
    <w:p>
      <w:pPr>
        <w:widowControl w:val="0"/>
        <w:wordWrap/>
        <w:adjustRightInd/>
        <w:snapToGrid/>
        <w:spacing w:before="0" w:after="0" w:line="55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（一）根据甲乙双方签订的《莆田市荔城区集体经营性建设用地使用权出让合同》第</w:t>
      </w:r>
      <w:r>
        <w:rPr>
          <w:rFonts w:hint="eastAsia" w:ascii="仿宋" w:hAnsi="仿宋" w:eastAsia="仿宋" w:cs="仿宋"/>
          <w:color w:val="000000"/>
          <w:szCs w:val="32"/>
          <w:u w:val="single"/>
        </w:rPr>
        <w:t>五</w:t>
      </w:r>
      <w:r>
        <w:rPr>
          <w:rFonts w:hint="eastAsia" w:ascii="仿宋" w:hAnsi="仿宋" w:eastAsia="仿宋" w:cs="仿宋"/>
          <w:color w:val="000000"/>
          <w:szCs w:val="32"/>
        </w:rPr>
        <w:t>条约定，甲方应向乙方交付的宗地面积为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平方米。乙方对该宗块的四至范围、面积和土地条件没有异议，同意接收。</w:t>
      </w:r>
    </w:p>
    <w:p>
      <w:pPr>
        <w:widowControl w:val="0"/>
        <w:wordWrap/>
        <w:adjustRightInd/>
        <w:snapToGrid/>
        <w:spacing w:before="0" w:after="0" w:line="550" w:lineRule="exact"/>
        <w:ind w:left="0" w:leftChars="0" w:right="0" w:firstLine="640" w:firstLineChars="200"/>
        <w:jc w:val="both"/>
        <w:textAlignment w:val="auto"/>
        <w:outlineLvl w:val="9"/>
        <w:rPr>
          <w:rFonts w:ascii="仿宋" w:hAnsi="仿宋" w:eastAsia="仿宋" w:cs="仿宋"/>
          <w:color w:val="000000"/>
          <w:szCs w:val="32"/>
        </w:rPr>
      </w:pPr>
      <w:r>
        <w:rPr>
          <w:rFonts w:hint="eastAsia" w:ascii="仿宋" w:hAnsi="仿宋" w:eastAsia="仿宋" w:cs="仿宋"/>
          <w:color w:val="000000"/>
          <w:szCs w:val="32"/>
        </w:rPr>
        <w:t>（二）根据甲乙双方签订的《莆田市荔城区集体经营性建设用地使用权出让合同》第</w:t>
      </w:r>
      <w:r>
        <w:rPr>
          <w:rFonts w:hint="eastAsia" w:ascii="仿宋" w:hAnsi="仿宋" w:eastAsia="仿宋" w:cs="仿宋"/>
          <w:color w:val="000000"/>
          <w:szCs w:val="32"/>
          <w:u w:val="single"/>
        </w:rPr>
        <w:t>五</w:t>
      </w:r>
      <w:r>
        <w:rPr>
          <w:rFonts w:hint="eastAsia" w:ascii="仿宋" w:hAnsi="仿宋" w:eastAsia="仿宋" w:cs="仿宋"/>
          <w:color w:val="000000"/>
          <w:szCs w:val="32"/>
        </w:rPr>
        <w:t>条约定，甲方应向乙方交付的宗地面积为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平方米。甲方实际交付的宗地面积为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平方米，土地条件是按第</w:t>
      </w:r>
      <w:r>
        <w:rPr>
          <w:rFonts w:hint="eastAsia" w:ascii="仿宋" w:hAnsi="仿宋" w:eastAsia="仿宋" w:cs="仿宋"/>
          <w:color w:val="000000"/>
          <w:szCs w:val="32"/>
          <w:u w:val="single"/>
        </w:rPr>
        <w:t>八</w:t>
      </w:r>
      <w:r>
        <w:rPr>
          <w:rFonts w:hint="eastAsia" w:ascii="仿宋" w:hAnsi="仿宋" w:eastAsia="仿宋" w:cs="仿宋"/>
          <w:color w:val="000000"/>
          <w:szCs w:val="32"/>
        </w:rPr>
        <w:t>条之规定：</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1.场地平整达到</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jc w:val="left"/>
        <w:rPr>
          <w:rFonts w:ascii="仿宋" w:hAnsi="仿宋" w:eastAsia="仿宋" w:cs="仿宋"/>
          <w:color w:val="000000"/>
          <w:szCs w:val="32"/>
          <w:u w:val="single"/>
        </w:rPr>
      </w:pPr>
      <w:r>
        <w:rPr>
          <w:rFonts w:hint="eastAsia" w:ascii="仿宋" w:hAnsi="仿宋" w:eastAsia="仿宋" w:cs="仿宋"/>
          <w:color w:val="000000"/>
          <w:szCs w:val="32"/>
        </w:rPr>
        <w:t>周围基础设施达到</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2.现状土地条件</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黑体" w:hAnsi="黑体" w:eastAsia="黑体" w:cs="黑体"/>
          <w:color w:val="000000"/>
          <w:szCs w:val="32"/>
        </w:rPr>
        <w:t>第三条</w:t>
      </w:r>
      <w:r>
        <w:rPr>
          <w:rFonts w:hint="eastAsia" w:ascii="仿宋" w:hAnsi="仿宋" w:eastAsia="仿宋" w:cs="仿宋"/>
          <w:color w:val="000000"/>
          <w:szCs w:val="32"/>
        </w:rPr>
        <w:t xml:space="preserve">  对于甲方交付的宗地与《国有建设用地使用权出让合同》第</w:t>
      </w:r>
      <w:r>
        <w:rPr>
          <w:rFonts w:hint="eastAsia" w:ascii="仿宋" w:hAnsi="仿宋" w:eastAsia="仿宋" w:cs="仿宋"/>
          <w:color w:val="000000"/>
          <w:szCs w:val="32"/>
          <w:u w:val="single"/>
        </w:rPr>
        <w:t>五</w:t>
      </w:r>
      <w:r>
        <w:rPr>
          <w:rFonts w:hint="eastAsia" w:ascii="仿宋" w:hAnsi="仿宋" w:eastAsia="仿宋" w:cs="仿宋"/>
          <w:color w:val="000000"/>
          <w:szCs w:val="32"/>
        </w:rPr>
        <w:t>条约定的面积和土地条件不一致的问题，甲乙双</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方同意按本条第</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rPr>
        <w:t>项规定的办法处理：</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（一）宗地面积少于或多出《国有建设用地使用权出让合同》约定的部分，按照多还少补的原则重新结算后，退还或补缴土地出让价款；</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（二）乙方同意按第二条第（二）项所述的土地条件接收土地，不再提出异议和新的权利主张；</w:t>
      </w:r>
    </w:p>
    <w:p>
      <w:pPr>
        <w:spacing w:after="0" w:line="590" w:lineRule="exact"/>
        <w:ind w:firstLine="640" w:firstLineChars="200"/>
        <w:rPr>
          <w:rFonts w:ascii="仿宋" w:hAnsi="仿宋" w:eastAsia="仿宋" w:cs="仿宋"/>
          <w:color w:val="000000"/>
          <w:spacing w:val="-6"/>
          <w:szCs w:val="32"/>
        </w:rPr>
      </w:pPr>
      <w:r>
        <w:rPr>
          <w:rFonts w:hint="eastAsia" w:ascii="仿宋" w:hAnsi="仿宋" w:eastAsia="仿宋" w:cs="仿宋"/>
          <w:color w:val="000000"/>
          <w:szCs w:val="32"/>
        </w:rPr>
        <w:t>（三）</w:t>
      </w:r>
      <w:r>
        <w:rPr>
          <w:rFonts w:hint="eastAsia" w:ascii="仿宋" w:hAnsi="仿宋" w:eastAsia="仿宋" w:cs="仿宋"/>
          <w:color w:val="000000"/>
          <w:spacing w:val="-6"/>
          <w:szCs w:val="32"/>
        </w:rPr>
        <w:t>甲乙双方同意按实际交地面积办理土地登记发证手续。</w:t>
      </w:r>
    </w:p>
    <w:p>
      <w:pPr>
        <w:spacing w:after="0" w:line="590" w:lineRule="exact"/>
        <w:ind w:firstLine="640" w:firstLineChars="200"/>
        <w:rPr>
          <w:rFonts w:ascii="仿宋" w:hAnsi="仿宋" w:eastAsia="仿宋" w:cs="仿宋"/>
          <w:color w:val="000000"/>
          <w:szCs w:val="32"/>
        </w:rPr>
      </w:pPr>
      <w:r>
        <w:rPr>
          <w:rFonts w:hint="eastAsia" w:ascii="黑体" w:hAnsi="黑体" w:eastAsia="黑体" w:cs="黑体"/>
          <w:color w:val="000000"/>
          <w:szCs w:val="32"/>
        </w:rPr>
        <w:t>第四条</w:t>
      </w:r>
      <w:r>
        <w:rPr>
          <w:rFonts w:hint="eastAsia" w:ascii="仿宋" w:hAnsi="仿宋" w:eastAsia="仿宋" w:cs="仿宋"/>
          <w:bCs/>
          <w:color w:val="000000"/>
          <w:szCs w:val="32"/>
        </w:rPr>
        <w:t xml:space="preserve">  本确认书自签订之日起生效</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bCs/>
          <w:color w:val="000000"/>
          <w:szCs w:val="32"/>
        </w:rPr>
        <w:t>本确认书生效后，即视为完成交地。</w:t>
      </w:r>
    </w:p>
    <w:p>
      <w:pPr>
        <w:spacing w:after="0" w:line="590" w:lineRule="exact"/>
        <w:ind w:firstLine="640" w:firstLineChars="200"/>
        <w:rPr>
          <w:rFonts w:ascii="仿宋" w:hAnsi="仿宋" w:eastAsia="仿宋" w:cs="仿宋"/>
          <w:color w:val="000000"/>
          <w:szCs w:val="32"/>
        </w:rPr>
      </w:pPr>
      <w:r>
        <w:rPr>
          <w:rFonts w:hint="eastAsia" w:ascii="黑体" w:hAnsi="黑体" w:eastAsia="黑体" w:cs="黑体"/>
          <w:color w:val="000000"/>
          <w:szCs w:val="32"/>
        </w:rPr>
        <w:t>第五条</w:t>
      </w:r>
      <w:r>
        <w:rPr>
          <w:rFonts w:hint="eastAsia" w:ascii="仿宋" w:hAnsi="仿宋" w:eastAsia="仿宋" w:cs="仿宋"/>
          <w:bCs/>
          <w:color w:val="000000"/>
          <w:szCs w:val="32"/>
        </w:rPr>
        <w:t xml:space="preserve">   </w:t>
      </w:r>
      <w:r>
        <w:rPr>
          <w:rFonts w:hint="eastAsia" w:ascii="仿宋" w:hAnsi="仿宋" w:eastAsia="仿宋" w:cs="仿宋"/>
          <w:color w:val="000000"/>
          <w:szCs w:val="32"/>
        </w:rPr>
        <w:t>本确认书一式</w:t>
      </w:r>
      <w:r>
        <w:rPr>
          <w:rFonts w:hint="eastAsia" w:ascii="仿宋" w:hAnsi="仿宋" w:eastAsia="仿宋" w:cs="仿宋"/>
          <w:color w:val="000000"/>
          <w:szCs w:val="32"/>
          <w:u w:val="single"/>
        </w:rPr>
        <w:t>贰</w:t>
      </w:r>
      <w:r>
        <w:rPr>
          <w:rFonts w:hint="eastAsia" w:ascii="仿宋" w:hAnsi="仿宋" w:eastAsia="仿宋" w:cs="仿宋"/>
          <w:color w:val="000000"/>
          <w:szCs w:val="32"/>
        </w:rPr>
        <w:t>份，甲、乙双方各执</w:t>
      </w:r>
      <w:r>
        <w:rPr>
          <w:rFonts w:hint="eastAsia" w:ascii="仿宋" w:hAnsi="仿宋" w:eastAsia="仿宋" w:cs="仿宋"/>
          <w:color w:val="000000"/>
          <w:szCs w:val="32"/>
          <w:u w:val="single"/>
        </w:rPr>
        <w:t>壹</w:t>
      </w:r>
      <w:r>
        <w:rPr>
          <w:rFonts w:hint="eastAsia" w:ascii="仿宋" w:hAnsi="仿宋" w:eastAsia="仿宋" w:cs="仿宋"/>
          <w:color w:val="000000"/>
          <w:szCs w:val="32"/>
        </w:rPr>
        <w:t>份。</w:t>
      </w:r>
    </w:p>
    <w:p>
      <w:pPr>
        <w:spacing w:after="0" w:line="590" w:lineRule="exact"/>
        <w:ind w:firstLine="640" w:firstLineChars="200"/>
        <w:rPr>
          <w:rFonts w:ascii="仿宋" w:hAnsi="仿宋" w:eastAsia="仿宋" w:cs="仿宋"/>
          <w:color w:val="000000"/>
          <w:szCs w:val="32"/>
        </w:rPr>
      </w:pPr>
    </w:p>
    <w:p>
      <w:pPr>
        <w:pStyle w:val="6"/>
      </w:pPr>
    </w:p>
    <w:p>
      <w:pPr>
        <w:spacing w:after="0" w:line="590" w:lineRule="exact"/>
        <w:rPr>
          <w:rFonts w:ascii="仿宋" w:hAnsi="仿宋" w:eastAsia="仿宋" w:cs="仿宋"/>
          <w:color w:val="000000"/>
          <w:szCs w:val="32"/>
        </w:rPr>
      </w:pPr>
      <w:r>
        <w:rPr>
          <w:rFonts w:hint="eastAsia" w:ascii="仿宋" w:hAnsi="仿宋" w:eastAsia="仿宋" w:cs="仿宋"/>
          <w:color w:val="000000"/>
          <w:szCs w:val="32"/>
        </w:rPr>
        <w:t>甲方：                         乙方：</w:t>
      </w:r>
    </w:p>
    <w:p>
      <w:pPr>
        <w:spacing w:after="0" w:line="590" w:lineRule="exact"/>
        <w:rPr>
          <w:rFonts w:ascii="仿宋" w:hAnsi="仿宋" w:eastAsia="仿宋" w:cs="仿宋"/>
          <w:color w:val="000000"/>
          <w:szCs w:val="32"/>
        </w:rPr>
      </w:pPr>
    </w:p>
    <w:p>
      <w:pPr>
        <w:spacing w:after="0" w:line="590" w:lineRule="exact"/>
        <w:rPr>
          <w:rFonts w:ascii="仿宋" w:hAnsi="仿宋" w:eastAsia="仿宋" w:cs="仿宋"/>
          <w:color w:val="000000"/>
          <w:szCs w:val="32"/>
        </w:rPr>
      </w:pPr>
      <w:r>
        <w:rPr>
          <w:rFonts w:hint="eastAsia" w:ascii="仿宋" w:hAnsi="仿宋" w:eastAsia="仿宋" w:cs="仿宋"/>
          <w:color w:val="000000"/>
          <w:szCs w:val="32"/>
        </w:rPr>
        <w:t>法定代表人（委托代理人）：      法定代表人（委托代理人）：</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签订日期：2024年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w:t>
      </w:r>
    </w:p>
    <w:p>
      <w:pPr>
        <w:jc w:val="left"/>
        <w:rPr>
          <w:rFonts w:ascii="仿宋" w:hAnsi="仿宋" w:eastAsia="仿宋" w:cs="仿宋"/>
          <w:b/>
          <w:bCs/>
          <w:color w:val="000000"/>
          <w:szCs w:val="32"/>
        </w:rPr>
      </w:pPr>
      <w:r>
        <w:rPr>
          <w:rFonts w:hint="eastAsia"/>
          <w:color w:val="000000"/>
        </w:rPr>
        <w:br w:type="page"/>
      </w:r>
      <w:r>
        <w:rPr>
          <w:rFonts w:hint="eastAsia" w:ascii="黑体" w:hAnsi="黑体" w:eastAsia="黑体" w:cs="黑体"/>
          <w:color w:val="000000"/>
          <w:szCs w:val="32"/>
        </w:rPr>
        <w:t>附件</w:t>
      </w:r>
      <w:r>
        <w:rPr>
          <w:rFonts w:hint="eastAsia" w:ascii="仿宋" w:hAnsi="仿宋" w:eastAsia="仿宋" w:cs="仿宋"/>
          <w:b/>
          <w:bCs/>
          <w:color w:val="000000"/>
          <w:szCs w:val="32"/>
        </w:rPr>
        <w:t>6</w:t>
      </w:r>
    </w:p>
    <w:p>
      <w:pPr>
        <w:jc w:val="left"/>
        <w:rPr>
          <w:rFonts w:ascii="楷体" w:hAnsi="楷体" w:eastAsia="楷体" w:cs="楷体"/>
          <w:b/>
          <w:bCs/>
          <w:color w:val="000000"/>
          <w:szCs w:val="32"/>
        </w:rPr>
      </w:pPr>
      <w:r>
        <w:rPr>
          <w:rFonts w:hint="eastAsia" w:ascii="楷体" w:hAnsi="楷体" w:eastAsia="楷体" w:cs="楷体"/>
          <w:b/>
          <w:bCs/>
          <w:color w:val="000000"/>
          <w:szCs w:val="32"/>
        </w:rPr>
        <w:t>GF-2023-2609</w:t>
      </w:r>
    </w:p>
    <w:p>
      <w:pPr>
        <w:ind w:firstLine="4160" w:firstLineChars="800"/>
        <w:jc w:val="left"/>
        <w:rPr>
          <w:rFonts w:eastAsia="黑体"/>
          <w:color w:val="000000"/>
          <w:sz w:val="52"/>
          <w:szCs w:val="52"/>
        </w:rPr>
      </w:pPr>
    </w:p>
    <w:p>
      <w:pPr>
        <w:jc w:val="center"/>
        <w:rPr>
          <w:rFonts w:ascii="方正小标宋简体" w:hAnsi="方正小标宋简体" w:eastAsia="方正小标宋简体" w:cs="方正小标宋简体"/>
          <w:color w:val="000000"/>
          <w:sz w:val="64"/>
          <w:szCs w:val="64"/>
        </w:rPr>
      </w:pPr>
    </w:p>
    <w:p>
      <w:pPr>
        <w:spacing w:after="0" w:line="900" w:lineRule="exact"/>
        <w:jc w:val="center"/>
        <w:rPr>
          <w:rFonts w:ascii="方正小标宋简体" w:hAnsi="方正小标宋简体" w:eastAsia="方正小标宋简体" w:cs="方正小标宋简体"/>
          <w:color w:val="000000"/>
          <w:sz w:val="64"/>
          <w:szCs w:val="64"/>
        </w:rPr>
      </w:pPr>
      <w:r>
        <w:rPr>
          <w:rFonts w:hint="eastAsia" w:ascii="方正小标宋简体" w:hAnsi="方正小标宋简体" w:eastAsia="方正小标宋简体" w:cs="方正小标宋简体"/>
          <w:color w:val="000000"/>
          <w:sz w:val="64"/>
          <w:szCs w:val="64"/>
        </w:rPr>
        <w:t>《集体经营性建设用地使用权</w:t>
      </w:r>
    </w:p>
    <w:p>
      <w:pPr>
        <w:spacing w:after="0" w:line="900" w:lineRule="exact"/>
        <w:jc w:val="center"/>
        <w:rPr>
          <w:rFonts w:ascii="方正小标宋简体" w:hAnsi="方正小标宋简体" w:eastAsia="方正小标宋简体" w:cs="方正小标宋简体"/>
          <w:color w:val="000000"/>
          <w:sz w:val="64"/>
          <w:szCs w:val="64"/>
        </w:rPr>
      </w:pPr>
      <w:r>
        <w:rPr>
          <w:rFonts w:hint="eastAsia" w:ascii="方正小标宋简体" w:hAnsi="方正小标宋简体" w:eastAsia="方正小标宋简体" w:cs="方正小标宋简体"/>
          <w:color w:val="000000"/>
          <w:sz w:val="64"/>
          <w:szCs w:val="64"/>
        </w:rPr>
        <w:t>出让监管协议》示范文本</w:t>
      </w:r>
    </w:p>
    <w:p>
      <w:pPr>
        <w:spacing w:after="0" w:line="900" w:lineRule="exact"/>
        <w:jc w:val="center"/>
        <w:rPr>
          <w:rFonts w:ascii="楷体" w:hAnsi="楷体" w:eastAsia="楷体" w:cs="楷体"/>
          <w:b/>
          <w:bCs/>
          <w:color w:val="000000"/>
          <w:sz w:val="44"/>
          <w:szCs w:val="44"/>
        </w:rPr>
      </w:pPr>
      <w:r>
        <w:rPr>
          <w:rFonts w:hint="eastAsia" w:ascii="楷体" w:hAnsi="楷体" w:eastAsia="楷体" w:cs="楷体"/>
          <w:b/>
          <w:bCs/>
          <w:color w:val="000000"/>
          <w:sz w:val="44"/>
          <w:szCs w:val="44"/>
        </w:rPr>
        <w:t>（试点试行）</w:t>
      </w:r>
    </w:p>
    <w:p>
      <w:pPr>
        <w:jc w:val="center"/>
        <w:rPr>
          <w:rFonts w:eastAsia="黑体"/>
          <w:color w:val="000000"/>
          <w:sz w:val="52"/>
          <w:szCs w:val="52"/>
        </w:rPr>
      </w:pPr>
    </w:p>
    <w:p>
      <w:pPr>
        <w:jc w:val="center"/>
        <w:rPr>
          <w:rFonts w:eastAsia="黑体"/>
          <w:color w:val="000000"/>
          <w:sz w:val="52"/>
          <w:szCs w:val="52"/>
        </w:rPr>
      </w:pPr>
    </w:p>
    <w:p>
      <w:pPr>
        <w:rPr>
          <w:rFonts w:eastAsia="黑体"/>
          <w:color w:val="000000"/>
          <w:sz w:val="44"/>
          <w:szCs w:val="44"/>
        </w:rPr>
      </w:pPr>
    </w:p>
    <w:tbl>
      <w:tblPr>
        <w:tblpPr w:leftFromText="180" w:rightFromText="180" w:vertAnchor="text" w:horzAnchor="page" w:tblpXSpec="center" w:tblpY="1637"/>
        <w:tblOverlap w:val="never"/>
        <w:tblW w:w="8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72"/>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jc w:val="center"/>
        </w:trPr>
        <w:tc>
          <w:tcPr>
            <w:tcW w:w="6972" w:type="dxa"/>
            <w:tcBorders>
              <w:tl2br w:val="nil"/>
              <w:tr2bl w:val="nil"/>
            </w:tcBorders>
            <w:vAlign w:val="bottom"/>
          </w:tcPr>
          <w:p>
            <w:pPr>
              <w:spacing w:after="0" w:line="520" w:lineRule="exact"/>
              <w:jc w:val="distribute"/>
              <w:rPr>
                <w:rFonts w:ascii="楷体" w:hAnsi="楷体" w:eastAsia="楷体" w:cs="楷体"/>
                <w:color w:val="000000"/>
                <w:sz w:val="44"/>
                <w:szCs w:val="44"/>
              </w:rPr>
            </w:pPr>
            <w:r>
              <w:rPr>
                <w:rFonts w:hint="eastAsia" w:ascii="楷体" w:hAnsi="楷体" w:eastAsia="楷体" w:cs="楷体"/>
                <w:color w:val="000000"/>
                <w:sz w:val="44"/>
                <w:szCs w:val="44"/>
              </w:rPr>
              <w:t>中华人民共和国自然资源部</w:t>
            </w:r>
          </w:p>
        </w:tc>
        <w:tc>
          <w:tcPr>
            <w:tcW w:w="1114" w:type="dxa"/>
            <w:vMerge w:val="restart"/>
            <w:tcBorders>
              <w:tl2br w:val="nil"/>
              <w:tr2bl w:val="nil"/>
            </w:tcBorders>
            <w:vAlign w:val="center"/>
          </w:tcPr>
          <w:p>
            <w:pPr>
              <w:pStyle w:val="26"/>
              <w:spacing w:after="0" w:line="700" w:lineRule="exact"/>
              <w:jc w:val="center"/>
              <w:rPr>
                <w:rFonts w:eastAsia="黑体"/>
                <w:color w:val="000000"/>
                <w:sz w:val="52"/>
                <w:szCs w:val="52"/>
              </w:rPr>
            </w:pPr>
            <w:r>
              <w:rPr>
                <w:rFonts w:hint="eastAsia" w:ascii="楷体" w:hAnsi="楷体" w:eastAsia="楷体" w:cs="楷体"/>
                <w:b/>
                <w:bCs/>
                <w:color w:val="000000"/>
                <w:w w:val="80"/>
                <w:sz w:val="52"/>
                <w:szCs w:val="44"/>
              </w:rPr>
              <w:t>制</w:t>
            </w:r>
            <w:r>
              <w:rPr>
                <w:rFonts w:hint="eastAsia" w:ascii="楷体" w:hAnsi="楷体" w:eastAsia="楷体" w:cs="楷体"/>
                <w:b/>
                <w:bCs/>
                <w:color w:val="000000"/>
                <w:w w:val="80"/>
                <w:sz w:val="52"/>
                <w:szCs w:val="52"/>
              </w:rPr>
              <w:t>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jc w:val="center"/>
        </w:trPr>
        <w:tc>
          <w:tcPr>
            <w:tcW w:w="6972" w:type="dxa"/>
            <w:tcBorders>
              <w:tl2br w:val="nil"/>
              <w:tr2bl w:val="nil"/>
            </w:tcBorders>
            <w:vAlign w:val="bottom"/>
          </w:tcPr>
          <w:p>
            <w:pPr>
              <w:pStyle w:val="26"/>
              <w:spacing w:after="0" w:line="520" w:lineRule="exact"/>
              <w:jc w:val="distribute"/>
              <w:rPr>
                <w:rFonts w:ascii="楷体" w:hAnsi="楷体" w:eastAsia="楷体" w:cs="楷体"/>
                <w:color w:val="000000"/>
                <w:sz w:val="44"/>
                <w:szCs w:val="44"/>
              </w:rPr>
            </w:pPr>
            <w:r>
              <w:rPr>
                <w:rFonts w:hint="eastAsia" w:ascii="楷体" w:hAnsi="楷体" w:eastAsia="楷体" w:cs="楷体"/>
                <w:color w:val="000000"/>
                <w:w w:val="90"/>
                <w:sz w:val="44"/>
                <w:szCs w:val="44"/>
              </w:rPr>
              <w:t>中华人民共和国国家市场监督管理总局</w:t>
            </w:r>
          </w:p>
        </w:tc>
        <w:tc>
          <w:tcPr>
            <w:tcW w:w="1114" w:type="dxa"/>
            <w:vMerge w:val="continue"/>
            <w:tcBorders>
              <w:tl2br w:val="nil"/>
              <w:tr2bl w:val="nil"/>
            </w:tcBorders>
            <w:vAlign w:val="bottom"/>
          </w:tcPr>
          <w:p>
            <w:pPr>
              <w:jc w:val="center"/>
              <w:rPr>
                <w:rFonts w:eastAsia="黑体"/>
                <w:color w:val="000000"/>
                <w:sz w:val="52"/>
                <w:szCs w:val="52"/>
              </w:rPr>
            </w:pPr>
          </w:p>
        </w:tc>
      </w:tr>
    </w:tbl>
    <w:p>
      <w:pPr>
        <w:spacing w:after="0" w:line="600" w:lineRule="exact"/>
        <w:jc w:val="center"/>
        <w:rPr>
          <w:rFonts w:hint="eastAsia" w:ascii="方正小标宋简体" w:hAnsi="方正小标宋简体" w:eastAsia="方正小标宋简体" w:cs="方正小标宋简体"/>
          <w:color w:val="000000"/>
          <w:sz w:val="38"/>
          <w:szCs w:val="38"/>
        </w:rPr>
      </w:pPr>
      <w:r>
        <w:rPr>
          <w:rFonts w:ascii="方正小标宋_GBK" w:hAnsi="方正小标宋_GBK" w:eastAsia="方正小标宋_GBK" w:cs="方正小标宋_GBK"/>
          <w:color w:val="000000"/>
          <w:sz w:val="44"/>
          <w:szCs w:val="44"/>
        </w:rPr>
        <w:br w:type="page"/>
      </w:r>
      <w:r>
        <w:rPr>
          <w:rFonts w:hint="eastAsia" w:ascii="方正小标宋简体" w:hAnsi="方正小标宋简体" w:eastAsia="方正小标宋简体" w:cs="方正小标宋简体"/>
          <w:color w:val="000000"/>
          <w:sz w:val="38"/>
          <w:szCs w:val="38"/>
        </w:rPr>
        <w:t>集体经营性建设用地使用权出让监管协议使用说明</w:t>
      </w:r>
    </w:p>
    <w:p>
      <w:pPr>
        <w:pStyle w:val="6"/>
        <w:widowControl w:val="0"/>
        <w:wordWrap/>
        <w:adjustRightInd/>
        <w:snapToGrid/>
        <w:spacing w:before="0" w:after="0" w:line="560" w:lineRule="exact"/>
        <w:ind w:left="0" w:leftChars="0" w:right="0"/>
        <w:textAlignment w:val="auto"/>
      </w:pPr>
    </w:p>
    <w:p>
      <w:pPr>
        <w:widowControl w:val="0"/>
        <w:numPr>
          <w:ilvl w:val="0"/>
          <w:numId w:val="5"/>
        </w:numPr>
        <w:wordWrap/>
        <w:adjustRightInd/>
        <w:snapToGrid/>
        <w:spacing w:before="0" w:after="0" w:line="560" w:lineRule="exact"/>
        <w:ind w:left="0" w:leftChars="0" w:right="0" w:firstLine="640" w:firstLineChars="200"/>
        <w:textAlignment w:val="auto"/>
        <w:rPr>
          <w:rFonts w:ascii="仿宋" w:hAnsi="仿宋" w:eastAsia="仿宋" w:cs="仿宋"/>
          <w:color w:val="000000"/>
          <w:szCs w:val="32"/>
        </w:rPr>
      </w:pPr>
      <w:r>
        <w:rPr>
          <w:rFonts w:hint="eastAsia" w:ascii="仿宋" w:hAnsi="仿宋" w:eastAsia="仿宋" w:cs="仿宋"/>
          <w:color w:val="000000"/>
          <w:szCs w:val="32"/>
        </w:rPr>
        <w:t>《集体经营性建设用地使用权出让监管协议》包括协议正文和附件（监管清单（样式））。经协议三方当事人约定同意后，可根据实际情况新增附件。</w:t>
      </w:r>
    </w:p>
    <w:p>
      <w:pPr>
        <w:widowControl w:val="0"/>
        <w:numPr>
          <w:ilvl w:val="0"/>
          <w:numId w:val="5"/>
        </w:numPr>
        <w:wordWrap/>
        <w:adjustRightInd/>
        <w:snapToGrid/>
        <w:spacing w:before="0" w:after="0" w:line="560" w:lineRule="exact"/>
        <w:ind w:left="0" w:leftChars="0" w:right="0" w:firstLine="640" w:firstLineChars="200"/>
        <w:textAlignment w:val="auto"/>
        <w:rPr>
          <w:rFonts w:ascii="仿宋" w:hAnsi="仿宋" w:eastAsia="仿宋" w:cs="仿宋"/>
          <w:color w:val="000000"/>
          <w:szCs w:val="32"/>
        </w:rPr>
      </w:pPr>
      <w:r>
        <w:rPr>
          <w:rFonts w:hint="eastAsia" w:ascii="仿宋" w:hAnsi="仿宋" w:eastAsia="仿宋" w:cs="仿宋"/>
          <w:color w:val="000000"/>
          <w:szCs w:val="32"/>
        </w:rPr>
        <w:t>本协议与同一宗地相对应的《集体经营性建设用地使用权出让合同》配套使用。</w:t>
      </w:r>
    </w:p>
    <w:p>
      <w:pPr>
        <w:widowControl w:val="0"/>
        <w:numPr>
          <w:ilvl w:val="0"/>
          <w:numId w:val="5"/>
        </w:numPr>
        <w:wordWrap/>
        <w:adjustRightInd/>
        <w:snapToGrid/>
        <w:spacing w:before="0" w:after="0" w:line="560" w:lineRule="exact"/>
        <w:ind w:left="0" w:leftChars="0" w:right="0" w:firstLine="616" w:firstLineChars="200"/>
        <w:textAlignment w:val="auto"/>
        <w:rPr>
          <w:rFonts w:ascii="仿宋" w:hAnsi="仿宋" w:eastAsia="仿宋" w:cs="仿宋"/>
          <w:color w:val="000000"/>
          <w:spacing w:val="-6"/>
          <w:szCs w:val="32"/>
        </w:rPr>
      </w:pPr>
      <w:r>
        <w:rPr>
          <w:rFonts w:hint="eastAsia" w:ascii="仿宋" w:hAnsi="仿宋" w:eastAsia="仿宋" w:cs="仿宋"/>
          <w:color w:val="000000"/>
          <w:spacing w:val="-6"/>
          <w:szCs w:val="32"/>
        </w:rPr>
        <w:t>本协议的监管人为</w:t>
      </w:r>
      <w:r>
        <w:rPr>
          <w:rFonts w:hint="eastAsia" w:ascii="仿宋" w:hAnsi="仿宋" w:eastAsia="仿宋" w:cs="仿宋"/>
          <w:color w:val="000000"/>
          <w:spacing w:val="-6"/>
          <w:szCs w:val="32"/>
          <w:lang w:eastAsia="zh-CN"/>
        </w:rPr>
        <w:t>莆田市荔城区人民政府及</w:t>
      </w:r>
      <w:r>
        <w:rPr>
          <w:rFonts w:hint="eastAsia" w:ascii="仿宋" w:hAnsi="仿宋" w:eastAsia="仿宋" w:cs="仿宋"/>
          <w:color w:val="000000"/>
          <w:spacing w:val="-6"/>
          <w:szCs w:val="32"/>
        </w:rPr>
        <w:t>出让宗地所在地的</w:t>
      </w:r>
      <w:r>
        <w:rPr>
          <w:rFonts w:hint="eastAsia" w:ascii="仿宋" w:hAnsi="仿宋" w:eastAsia="仿宋" w:cs="仿宋"/>
          <w:color w:val="000000"/>
          <w:spacing w:val="-6"/>
          <w:szCs w:val="32"/>
          <w:lang w:eastAsia="zh-CN"/>
        </w:rPr>
        <w:t>镇</w:t>
      </w:r>
      <w:r>
        <w:rPr>
          <w:rFonts w:hint="eastAsia" w:ascii="仿宋" w:hAnsi="仿宋" w:eastAsia="仿宋" w:cs="仿宋"/>
          <w:color w:val="000000"/>
          <w:spacing w:val="-6"/>
          <w:szCs w:val="32"/>
        </w:rPr>
        <w:t>政府（</w:t>
      </w:r>
      <w:r>
        <w:rPr>
          <w:rFonts w:hint="eastAsia" w:ascii="仿宋" w:hAnsi="仿宋" w:eastAsia="仿宋" w:cs="仿宋"/>
          <w:color w:val="000000"/>
          <w:spacing w:val="-6"/>
          <w:szCs w:val="32"/>
          <w:lang w:eastAsia="zh-CN"/>
        </w:rPr>
        <w:t>街道办事处</w:t>
      </w:r>
      <w:r>
        <w:rPr>
          <w:rFonts w:hint="eastAsia" w:ascii="仿宋" w:hAnsi="仿宋" w:eastAsia="仿宋" w:cs="仿宋"/>
          <w:color w:val="000000"/>
          <w:spacing w:val="-6"/>
          <w:szCs w:val="32"/>
        </w:rPr>
        <w:t>）。</w:t>
      </w:r>
    </w:p>
    <w:p>
      <w:pPr>
        <w:widowControl w:val="0"/>
        <w:numPr>
          <w:ilvl w:val="0"/>
          <w:numId w:val="5"/>
        </w:numPr>
        <w:wordWrap/>
        <w:adjustRightInd/>
        <w:snapToGrid/>
        <w:spacing w:before="0" w:after="0" w:line="560" w:lineRule="exact"/>
        <w:ind w:left="0" w:leftChars="0" w:right="0" w:firstLine="640" w:firstLineChars="200"/>
        <w:textAlignment w:val="auto"/>
        <w:rPr>
          <w:rFonts w:ascii="仿宋" w:hAnsi="仿宋" w:eastAsia="仿宋" w:cs="仿宋"/>
          <w:color w:val="000000"/>
          <w:szCs w:val="32"/>
        </w:rPr>
      </w:pPr>
      <w:r>
        <w:rPr>
          <w:rFonts w:hint="eastAsia" w:ascii="仿宋" w:hAnsi="仿宋" w:eastAsia="仿宋" w:cs="仿宋"/>
          <w:color w:val="000000"/>
          <w:szCs w:val="32"/>
        </w:rPr>
        <w:t>本协议为示范文本，由自然资源部与国家市场监督管理总局联合制定。合同签订前，三方当事人应当仔细阅读本合同内容，特别是其中具有选择性、补充性、填充性、修改性的内容；当事人对协议中的专业用词理解不一致的，可向监管人或当地自然资源主管部门咨询。</w:t>
      </w:r>
    </w:p>
    <w:p>
      <w:pPr>
        <w:widowControl w:val="0"/>
        <w:wordWrap/>
        <w:adjustRightInd/>
        <w:snapToGrid/>
        <w:spacing w:before="0" w:after="0" w:line="560" w:lineRule="exact"/>
        <w:ind w:left="0" w:leftChars="0" w:right="0" w:firstLine="640" w:firstLineChars="200"/>
        <w:textAlignment w:val="auto"/>
        <w:rPr>
          <w:rFonts w:ascii="仿宋" w:hAnsi="仿宋" w:eastAsia="仿宋" w:cs="仿宋"/>
          <w:color w:val="000000"/>
          <w:szCs w:val="32"/>
        </w:rPr>
      </w:pPr>
      <w:r>
        <w:rPr>
          <w:rFonts w:hint="eastAsia" w:ascii="仿宋" w:hAnsi="仿宋" w:eastAsia="仿宋" w:cs="仿宋"/>
          <w:color w:val="000000"/>
          <w:szCs w:val="32"/>
        </w:rPr>
        <w:t>五、本协议文本中相关条款后留有空白行，供当事人自行约定或者补充约定，约定内容应符合国家有关政策规定。协议三方当事人依法可以对文本条款的内容进行修改、增补或者删减。协议签订生效后，未被修改的文本印刷文字视为三方同意内容。</w:t>
      </w:r>
    </w:p>
    <w:p>
      <w:pPr>
        <w:widowControl w:val="0"/>
        <w:wordWrap/>
        <w:adjustRightInd/>
        <w:snapToGrid/>
        <w:spacing w:before="0" w:after="0" w:line="560" w:lineRule="exact"/>
        <w:ind w:left="0" w:leftChars="0" w:right="0" w:firstLine="640" w:firstLineChars="200"/>
        <w:textAlignment w:val="auto"/>
        <w:rPr>
          <w:rFonts w:ascii="仿宋" w:hAnsi="仿宋" w:eastAsia="仿宋" w:cs="仿宋"/>
          <w:color w:val="000000"/>
          <w:szCs w:val="32"/>
        </w:rPr>
      </w:pPr>
      <w:r>
        <w:rPr>
          <w:rFonts w:hint="eastAsia" w:ascii="仿宋" w:hAnsi="仿宋" w:eastAsia="仿宋" w:cs="仿宋"/>
          <w:color w:val="000000"/>
          <w:szCs w:val="32"/>
        </w:rPr>
        <w:t>六、协议三方当事人应当结合具体情况选择本协议条款中所提供的选择项，同意的在选择项前的□打√，不同意的打×。</w:t>
      </w:r>
    </w:p>
    <w:p>
      <w:pPr>
        <w:widowControl w:val="0"/>
        <w:wordWrap/>
        <w:adjustRightInd/>
        <w:snapToGrid/>
        <w:spacing w:before="0" w:after="0" w:line="560" w:lineRule="exact"/>
        <w:ind w:left="0" w:leftChars="0" w:right="0" w:firstLine="640" w:firstLineChars="200"/>
        <w:textAlignment w:val="auto"/>
        <w:rPr>
          <w:rFonts w:ascii="仿宋" w:hAnsi="仿宋" w:eastAsia="仿宋" w:cs="仿宋"/>
          <w:color w:val="000000"/>
          <w:szCs w:val="32"/>
        </w:rPr>
      </w:pPr>
      <w:r>
        <w:rPr>
          <w:rFonts w:hint="eastAsia" w:ascii="仿宋" w:hAnsi="仿宋" w:eastAsia="仿宋" w:cs="仿宋"/>
          <w:color w:val="000000"/>
          <w:szCs w:val="32"/>
        </w:rPr>
        <w:t>七、本协议示范文本在入市试点地区试行。</w:t>
      </w:r>
    </w:p>
    <w:p>
      <w:pPr>
        <w:widowControl w:val="0"/>
        <w:wordWrap/>
        <w:adjustRightInd/>
        <w:snapToGrid/>
        <w:spacing w:before="0" w:after="0" w:line="560" w:lineRule="exact"/>
        <w:ind w:left="0" w:leftChars="0" w:right="0" w:firstLine="640" w:firstLineChars="200"/>
        <w:jc w:val="left"/>
        <w:textAlignment w:val="auto"/>
        <w:rPr>
          <w:rFonts w:ascii="仿宋" w:hAnsi="仿宋" w:eastAsia="仿宋" w:cs="仿宋"/>
          <w:color w:val="000000"/>
          <w:spacing w:val="-6"/>
          <w:szCs w:val="32"/>
        </w:rPr>
      </w:pPr>
      <w:r>
        <w:rPr>
          <w:rFonts w:hint="eastAsia" w:ascii="仿宋" w:hAnsi="仿宋" w:eastAsia="仿宋" w:cs="仿宋"/>
          <w:color w:val="000000"/>
          <w:szCs w:val="32"/>
        </w:rPr>
        <w:t>八、</w:t>
      </w:r>
      <w:r>
        <w:rPr>
          <w:rFonts w:hint="eastAsia" w:ascii="仿宋" w:hAnsi="仿宋" w:eastAsia="仿宋" w:cs="仿宋"/>
          <w:color w:val="000000"/>
          <w:spacing w:val="-6"/>
          <w:szCs w:val="32"/>
        </w:rPr>
        <w:t>本协议由自然资源部和国家市场监督管理总局负责解释。</w:t>
      </w:r>
    </w:p>
    <w:p>
      <w:pPr>
        <w:widowControl w:val="0"/>
        <w:wordWrap/>
        <w:adjustRightInd/>
        <w:snapToGrid/>
        <w:spacing w:before="0" w:after="0" w:line="560" w:lineRule="exact"/>
        <w:ind w:left="0" w:leftChars="0" w:right="0" w:firstLine="616" w:firstLineChars="200"/>
        <w:jc w:val="center"/>
        <w:textAlignment w:val="auto"/>
        <w:rPr>
          <w:rFonts w:ascii="仿宋" w:hAnsi="仿宋" w:eastAsia="仿宋" w:cs="仿宋"/>
          <w:color w:val="000000"/>
          <w:spacing w:val="-6"/>
          <w:szCs w:val="32"/>
        </w:rPr>
        <w:sectPr>
          <w:headerReference r:id="rId14" w:type="first"/>
          <w:footerReference r:id="rId17" w:type="first"/>
          <w:headerReference r:id="rId12" w:type="default"/>
          <w:footerReference r:id="rId15" w:type="default"/>
          <w:headerReference r:id="rId13" w:type="even"/>
          <w:footerReference r:id="rId16" w:type="even"/>
          <w:pgSz w:w="11906" w:h="16838"/>
          <w:pgMar w:top="1871" w:right="1587" w:bottom="1871" w:left="1587" w:header="851" w:footer="1417" w:gutter="0"/>
          <w:pgBorders>
            <w:top w:val="none" w:color="auto" w:sz="0" w:space="0"/>
            <w:left w:val="none" w:color="auto" w:sz="0" w:space="0"/>
            <w:bottom w:val="none" w:color="auto" w:sz="0" w:space="0"/>
            <w:right w:val="none" w:color="auto" w:sz="0" w:space="0"/>
          </w:pgBorders>
          <w:cols w:space="720" w:num="1"/>
          <w:docGrid w:type="lines" w:linePitch="437" w:charSpace="0"/>
        </w:sectPr>
      </w:pPr>
    </w:p>
    <w:p>
      <w:pPr>
        <w:jc w:val="left"/>
        <w:rPr>
          <w:rFonts w:ascii="仿宋" w:hAnsi="仿宋" w:eastAsia="仿宋" w:cs="仿宋"/>
          <w:b/>
          <w:bCs/>
          <w:color w:val="000000"/>
          <w:szCs w:val="32"/>
        </w:rPr>
      </w:pPr>
      <w:r>
        <w:rPr>
          <w:rFonts w:hint="eastAsia" w:ascii="黑体" w:hAnsi="黑体" w:eastAsia="黑体" w:cs="黑体"/>
          <w:color w:val="000000"/>
          <w:szCs w:val="32"/>
        </w:rPr>
        <w:t>附件</w:t>
      </w:r>
      <w:r>
        <w:rPr>
          <w:rFonts w:hint="eastAsia" w:ascii="黑体" w:hAnsi="黑体" w:eastAsia="黑体" w:cs="黑体"/>
          <w:color w:val="000000"/>
          <w:szCs w:val="32"/>
          <w:lang w:val="en-US" w:eastAsia="zh-CN"/>
        </w:rPr>
        <w:t>7</w:t>
      </w:r>
    </w:p>
    <w:p>
      <w:pPr>
        <w:widowControl w:val="0"/>
        <w:wordWrap/>
        <w:adjustRightInd/>
        <w:snapToGrid/>
        <w:spacing w:before="0" w:after="0" w:line="200" w:lineRule="exact"/>
        <w:ind w:left="0" w:leftChars="0" w:right="0" w:firstLine="0" w:firstLineChars="0"/>
        <w:jc w:val="left"/>
        <w:textAlignment w:val="auto"/>
        <w:outlineLvl w:val="9"/>
        <w:rPr>
          <w:rFonts w:hint="eastAsia"/>
          <w:color w:val="000000"/>
          <w:szCs w:val="32"/>
        </w:rPr>
      </w:pPr>
    </w:p>
    <w:p>
      <w:pPr>
        <w:spacing w:after="0" w:line="600" w:lineRule="exact"/>
        <w:jc w:val="center"/>
        <w:rPr>
          <w:rFonts w:ascii="仿宋" w:hAnsi="仿宋" w:eastAsia="仿宋" w:cs="仿宋"/>
          <w:color w:val="000000"/>
          <w:szCs w:val="32"/>
          <w:u w:val="single"/>
        </w:rPr>
      </w:pPr>
      <w:r>
        <w:rPr>
          <w:rFonts w:hint="eastAsia" w:ascii="仿宋" w:hAnsi="仿宋" w:eastAsia="仿宋" w:cs="仿宋"/>
          <w:color w:val="000000"/>
          <w:szCs w:val="32"/>
          <w:lang w:val="en-US" w:eastAsia="zh-CN"/>
        </w:rPr>
        <w:t xml:space="preserve">               </w:t>
      </w:r>
      <w:r>
        <w:rPr>
          <w:rFonts w:hint="eastAsia" w:ascii="仿宋" w:hAnsi="仿宋" w:eastAsia="仿宋" w:cs="仿宋"/>
          <w:color w:val="000000"/>
          <w:szCs w:val="32"/>
        </w:rPr>
        <w:t xml:space="preserve">协议编号： </w:t>
      </w:r>
      <w:r>
        <w:rPr>
          <w:rFonts w:hint="eastAsia" w:ascii="仿宋" w:hAnsi="仿宋" w:eastAsia="仿宋" w:cs="仿宋"/>
          <w:color w:val="000000"/>
          <w:szCs w:val="32"/>
          <w:u w:val="single"/>
        </w:rPr>
        <w:t xml:space="preserve">              </w:t>
      </w:r>
    </w:p>
    <w:p>
      <w:pPr>
        <w:pStyle w:val="6"/>
        <w:keepNext/>
        <w:keepLines/>
        <w:widowControl w:val="0"/>
        <w:wordWrap/>
        <w:adjustRightInd/>
        <w:snapToGrid/>
        <w:spacing w:before="80" w:after="40" w:line="240" w:lineRule="exact"/>
        <w:ind w:left="0" w:leftChars="0" w:right="0" w:firstLine="0" w:firstLineChars="0"/>
        <w:jc w:val="both"/>
        <w:textAlignment w:val="auto"/>
        <w:outlineLvl w:val="3"/>
      </w:pPr>
    </w:p>
    <w:p>
      <w:pPr>
        <w:spacing w:after="0" w:line="60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集体经营性建设用地使用权出让监管协议</w:t>
      </w:r>
    </w:p>
    <w:p>
      <w:pPr>
        <w:spacing w:after="0" w:line="590" w:lineRule="exact"/>
        <w:ind w:firstLine="640" w:firstLineChars="200"/>
        <w:outlineLvl w:val="0"/>
        <w:rPr>
          <w:rFonts w:ascii="仿宋" w:hAnsi="仿宋" w:eastAsia="仿宋" w:cs="仿宋"/>
          <w:color w:val="000000"/>
          <w:szCs w:val="32"/>
        </w:rPr>
      </w:pPr>
    </w:p>
    <w:p>
      <w:pPr>
        <w:spacing w:after="0" w:line="590" w:lineRule="exact"/>
        <w:ind w:firstLine="640" w:firstLineChars="200"/>
        <w:outlineLvl w:val="0"/>
        <w:rPr>
          <w:rFonts w:ascii="仿宋" w:hAnsi="仿宋" w:eastAsia="仿宋" w:cs="仿宋"/>
          <w:color w:val="000000"/>
          <w:szCs w:val="32"/>
        </w:rPr>
      </w:pPr>
      <w:r>
        <w:rPr>
          <w:rFonts w:hint="eastAsia" w:ascii="仿宋" w:hAnsi="仿宋" w:eastAsia="仿宋" w:cs="仿宋"/>
          <w:color w:val="000000"/>
          <w:szCs w:val="32"/>
        </w:rPr>
        <w:t>本协议三方当事人：</w:t>
      </w:r>
    </w:p>
    <w:p>
      <w:pPr>
        <w:adjustRightInd w:val="0"/>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出让人：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adjustRightInd w:val="0"/>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统一社会信用代码：</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委托代理人：</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联系地址：</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联系电话：</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开户银行：</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账号：</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受让人：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委托代理人：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联系地址：</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联系电话：</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开户银行：</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账号：</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spacing w:after="0" w:line="590" w:lineRule="exact"/>
        <w:ind w:firstLine="640" w:firstLineChars="200"/>
        <w:outlineLvl w:val="0"/>
        <w:rPr>
          <w:rFonts w:ascii="仿宋" w:hAnsi="仿宋" w:eastAsia="仿宋" w:cs="仿宋"/>
          <w:color w:val="000000"/>
          <w:szCs w:val="32"/>
        </w:rPr>
      </w:pPr>
      <w:r>
        <w:rPr>
          <w:rFonts w:hint="eastAsia" w:ascii="仿宋" w:hAnsi="仿宋" w:eastAsia="仿宋" w:cs="仿宋"/>
          <w:color w:val="000000"/>
          <w:szCs w:val="32"/>
        </w:rPr>
        <w:t>监管人：</w:t>
      </w:r>
      <w:r>
        <w:rPr>
          <w:rFonts w:hint="eastAsia" w:ascii="仿宋" w:hAnsi="仿宋" w:eastAsia="仿宋" w:cs="仿宋"/>
          <w:color w:val="000000"/>
          <w:spacing w:val="-6"/>
          <w:szCs w:val="32"/>
          <w:lang w:eastAsia="zh-CN"/>
        </w:rPr>
        <w:t>莆田市荔城区人民政府，</w:t>
      </w:r>
      <w:r>
        <w:rPr>
          <w:rFonts w:hint="eastAsia" w:ascii="仿宋" w:hAnsi="仿宋" w:eastAsia="仿宋" w:cs="仿宋"/>
          <w:color w:val="000000"/>
          <w:spacing w:val="-6"/>
          <w:szCs w:val="32"/>
          <w:u w:val="single"/>
        </w:rPr>
        <w:t>所在地</w:t>
      </w:r>
      <w:r>
        <w:rPr>
          <w:rFonts w:hint="eastAsia" w:ascii="仿宋" w:hAnsi="仿宋" w:eastAsia="仿宋" w:cs="仿宋"/>
          <w:color w:val="000000"/>
          <w:spacing w:val="-6"/>
          <w:szCs w:val="32"/>
          <w:u w:val="single"/>
          <w:lang w:eastAsia="zh-CN"/>
        </w:rPr>
        <w:t>镇</w:t>
      </w:r>
      <w:r>
        <w:rPr>
          <w:rFonts w:hint="eastAsia" w:ascii="仿宋" w:hAnsi="仿宋" w:eastAsia="仿宋" w:cs="仿宋"/>
          <w:color w:val="000000"/>
          <w:spacing w:val="-6"/>
          <w:szCs w:val="32"/>
          <w:u w:val="single"/>
        </w:rPr>
        <w:t>政府（</w:t>
      </w:r>
      <w:r>
        <w:rPr>
          <w:rFonts w:hint="eastAsia" w:ascii="仿宋" w:hAnsi="仿宋" w:eastAsia="仿宋" w:cs="仿宋"/>
          <w:color w:val="000000"/>
          <w:spacing w:val="-6"/>
          <w:szCs w:val="32"/>
          <w:u w:val="single"/>
          <w:lang w:eastAsia="zh-CN"/>
        </w:rPr>
        <w:t>街道办事处</w:t>
      </w:r>
      <w:r>
        <w:rPr>
          <w:rFonts w:hint="eastAsia" w:ascii="仿宋" w:hAnsi="仿宋" w:eastAsia="仿宋" w:cs="仿宋"/>
          <w:color w:val="000000"/>
          <w:spacing w:val="-6"/>
          <w:szCs w:val="32"/>
          <w:u w:val="single"/>
        </w:rPr>
        <w:t>）</w:t>
      </w:r>
      <w:r>
        <w:rPr>
          <w:rFonts w:hint="eastAsia" w:ascii="仿宋" w:hAnsi="仿宋" w:eastAsia="仿宋" w:cs="仿宋"/>
          <w:color w:val="000000"/>
          <w:szCs w:val="32"/>
        </w:rPr>
        <w:t>；</w:t>
      </w:r>
    </w:p>
    <w:p>
      <w:pPr>
        <w:pStyle w:val="6"/>
        <w:spacing w:before="0" w:after="0" w:line="59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统一社会信用代码：</w:t>
      </w:r>
      <w:r>
        <w:rPr>
          <w:rFonts w:hint="eastAsia" w:ascii="仿宋" w:hAnsi="仿宋" w:eastAsia="仿宋" w:cs="仿宋"/>
          <w:bCs/>
          <w:color w:val="000000"/>
          <w:sz w:val="32"/>
          <w:szCs w:val="32"/>
          <w:u w:val="single"/>
        </w:rPr>
        <w:t xml:space="preserve">                                </w:t>
      </w:r>
      <w:r>
        <w:rPr>
          <w:rFonts w:hint="eastAsia" w:ascii="仿宋" w:hAnsi="仿宋" w:eastAsia="仿宋" w:cs="仿宋"/>
          <w:bCs/>
          <w:color w:val="000000"/>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sz w:val="32"/>
          <w:szCs w:val="32"/>
        </w:rPr>
        <w:t>委托代理人：</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□统一社会信用代码：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□身份证号码：</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联系地址：</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联系电话：</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sz w:val="32"/>
          <w:szCs w:val="32"/>
        </w:rPr>
        <w:t>开户银行：</w:t>
      </w:r>
      <w:r>
        <w:rPr>
          <w:rFonts w:hint="eastAsia" w:ascii="仿宋" w:hAnsi="仿宋" w:eastAsia="仿宋" w:cs="仿宋"/>
          <w:color w:val="000000"/>
          <w:sz w:val="32"/>
          <w:szCs w:val="32"/>
          <w:u w:val="single"/>
        </w:rPr>
        <w:t xml:space="preserve">                                        </w:t>
      </w:r>
      <w:r>
        <w:rPr>
          <w:rFonts w:hint="eastAsia" w:ascii="仿宋" w:hAnsi="仿宋" w:eastAsia="仿宋" w:cs="仿宋"/>
          <w:color w:val="000000"/>
          <w:kern w:val="2"/>
          <w:sz w:val="32"/>
          <w:szCs w:val="32"/>
        </w:rPr>
        <w:t>；</w:t>
      </w:r>
    </w:p>
    <w:p>
      <w:pPr>
        <w:pStyle w:val="26"/>
        <w:spacing w:after="0" w:line="59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账号：</w:t>
      </w:r>
      <w:r>
        <w:rPr>
          <w:rFonts w:hint="eastAsia" w:ascii="仿宋" w:hAnsi="仿宋" w:eastAsia="仿宋" w:cs="仿宋"/>
          <w:color w:val="000000"/>
          <w:sz w:val="32"/>
          <w:szCs w:val="32"/>
          <w:u w:val="single"/>
        </w:rPr>
        <w:t xml:space="preserve">                                          </w:t>
      </w:r>
      <w:r>
        <w:rPr>
          <w:rFonts w:hint="eastAsia" w:ascii="仿宋" w:hAnsi="仿宋" w:eastAsia="仿宋" w:cs="仿宋"/>
          <w:color w:val="000000"/>
          <w:w w:val="91"/>
          <w:sz w:val="32"/>
          <w:szCs w:val="32"/>
          <w:u w:val="single"/>
        </w:rPr>
        <w:t xml:space="preserve">  </w:t>
      </w:r>
      <w:r>
        <w:rPr>
          <w:rFonts w:hint="eastAsia" w:ascii="仿宋" w:hAnsi="仿宋" w:eastAsia="仿宋" w:cs="仿宋"/>
          <w:color w:val="000000"/>
          <w:kern w:val="2"/>
          <w:sz w:val="32"/>
          <w:szCs w:val="32"/>
        </w:rPr>
        <w:t>。</w:t>
      </w:r>
    </w:p>
    <w:p>
      <w:pPr>
        <w:spacing w:after="0" w:line="590" w:lineRule="exact"/>
        <w:jc w:val="center"/>
        <w:rPr>
          <w:rFonts w:ascii="黑体" w:hAnsi="黑体" w:eastAsia="黑体" w:cs="黑体"/>
          <w:color w:val="000000"/>
          <w:szCs w:val="32"/>
        </w:rPr>
      </w:pPr>
    </w:p>
    <w:p>
      <w:pPr>
        <w:spacing w:after="0" w:line="590" w:lineRule="exact"/>
        <w:jc w:val="center"/>
        <w:rPr>
          <w:rFonts w:ascii="黑体" w:hAnsi="黑体" w:eastAsia="黑体" w:cs="黑体"/>
          <w:color w:val="000000"/>
          <w:szCs w:val="32"/>
        </w:rPr>
      </w:pPr>
      <w:r>
        <w:rPr>
          <w:rFonts w:hint="eastAsia" w:ascii="黑体" w:hAnsi="黑体" w:eastAsia="黑体" w:cs="黑体"/>
          <w:color w:val="000000"/>
          <w:szCs w:val="32"/>
        </w:rPr>
        <w:t>第一章  总 则</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第一条</w:t>
      </w:r>
      <w:r>
        <w:rPr>
          <w:rFonts w:hint="eastAsia" w:ascii="仿宋" w:hAnsi="仿宋" w:eastAsia="仿宋" w:cs="仿宋"/>
          <w:color w:val="000000"/>
          <w:szCs w:val="32"/>
        </w:rPr>
        <w:t xml:space="preserve"> 根据《中华人民共和国民法典》《中华人民共和国土地管理法》《中华人民共和国土地管理法实施条例》等法律法规及集体经营性建设用地入市相关规定，本着平等、自愿、诚实信用的原则，经本协议三方当事人协商一致，在《集体经营性建设用地使用权出让合同》（合同编号：</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）基础上，依据出让方案签订本协议。</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第二条 </w:t>
      </w:r>
      <w:r>
        <w:rPr>
          <w:rFonts w:hint="eastAsia" w:ascii="仿宋" w:hAnsi="仿宋" w:eastAsia="仿宋" w:cs="仿宋"/>
          <w:color w:val="000000"/>
          <w:szCs w:val="32"/>
        </w:rPr>
        <w:t>为实现土地节约集约利用，出让合同双方当事人一致同意由本协议约定的监管人对出让合同履约过程等组织实施监管，出让人、受让人、监管人应共同遵守本协议相关内容。</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第三条</w:t>
      </w:r>
      <w:r>
        <w:rPr>
          <w:rFonts w:hint="eastAsia" w:ascii="仿宋" w:hAnsi="仿宋" w:eastAsia="仿宋" w:cs="仿宋"/>
          <w:color w:val="000000"/>
          <w:szCs w:val="32"/>
        </w:rPr>
        <w:t xml:space="preserve"> 本协议项下的出让宗地（宗地编号：</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）坐落于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，四至范围为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。宗地总面积大写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平方米），其中出让宗地面积大写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平方米（小写</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平方米），土地用途为</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。本协议项下土地其他情况以出让合同约定为准。</w:t>
      </w:r>
    </w:p>
    <w:p>
      <w:pPr>
        <w:pStyle w:val="6"/>
        <w:spacing w:before="0" w:after="0" w:line="590" w:lineRule="exact"/>
        <w:jc w:val="center"/>
        <w:rPr>
          <w:rFonts w:ascii="黑体" w:hAnsi="黑体" w:eastAsia="黑体"/>
          <w:color w:val="000000"/>
          <w:sz w:val="32"/>
          <w:szCs w:val="32"/>
        </w:rPr>
      </w:pPr>
      <w:r>
        <w:rPr>
          <w:rFonts w:hint="eastAsia" w:ascii="黑体" w:hAnsi="黑体" w:eastAsia="黑体"/>
          <w:color w:val="000000"/>
          <w:sz w:val="32"/>
          <w:szCs w:val="32"/>
        </w:rPr>
        <w:t>第二章 监管事宜</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第四条</w:t>
      </w:r>
      <w:r>
        <w:rPr>
          <w:rFonts w:hint="eastAsia" w:ascii="仿宋" w:hAnsi="仿宋" w:eastAsia="仿宋" w:cs="仿宋"/>
          <w:color w:val="000000"/>
          <w:szCs w:val="32"/>
        </w:rPr>
        <w:t xml:space="preserve"> 为确保本协议项下宗地严格按照出让合同约定进行土地开发利用和保护，本协议项下监管事项包括但不限于下列约定项目：</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（一）规划条件；</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（二）产业准入要求；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（三）生态环境保护要求；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（四）交地及开、竣工要求；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（五）开发投资强度要求；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（六）宗地建设配套要求: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□养老、教育、医疗等保障性配套服务设施建设要求；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□公共管理、公共服务、市政设施等配套项目建设要求；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□企业内部行政办公及生活服务设施比例及面积；</w:t>
      </w:r>
    </w:p>
    <w:p>
      <w:pPr>
        <w:pStyle w:val="6"/>
        <w:spacing w:before="0" w:after="0" w:line="59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□保障性租赁住房建设套数及户型要求；</w:t>
      </w:r>
    </w:p>
    <w:p>
      <w:pPr>
        <w:pStyle w:val="6"/>
        <w:spacing w:before="0" w:after="0" w:line="59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□其他要求：</w:t>
      </w:r>
      <w:r>
        <w:rPr>
          <w:rFonts w:hint="eastAsia" w:ascii="仿宋" w:hAnsi="仿宋" w:eastAsia="仿宋" w:cs="仿宋"/>
          <w:bCs/>
          <w:color w:val="000000"/>
          <w:sz w:val="32"/>
          <w:szCs w:val="32"/>
          <w:u w:val="single"/>
        </w:rPr>
        <w:t xml:space="preserve">                        </w:t>
      </w:r>
      <w:r>
        <w:rPr>
          <w:rFonts w:hint="eastAsia" w:ascii="仿宋" w:hAnsi="仿宋" w:eastAsia="仿宋" w:cs="仿宋"/>
          <w:bCs/>
          <w:color w:val="000000"/>
          <w:sz w:val="32"/>
          <w:szCs w:val="32"/>
        </w:rPr>
        <w:t>；</w:t>
      </w:r>
    </w:p>
    <w:p>
      <w:pPr>
        <w:numPr>
          <w:ilvl w:val="0"/>
          <w:numId w:val="6"/>
        </w:num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延建要求；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（八）投、达产及税收等要求；</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（九）土地增值收益调节金缴纳；</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w:t>
      </w:r>
      <w:r>
        <w:rPr>
          <w:rFonts w:hint="eastAsia" w:ascii="仿宋" w:hAnsi="仿宋" w:eastAsia="仿宋" w:cs="仿宋"/>
          <w:color w:val="000000"/>
          <w:spacing w:val="-6"/>
          <w:szCs w:val="32"/>
        </w:rPr>
        <w:t>集体经营性建设用地使用权转让、出租、抵押等规</w:t>
      </w:r>
      <w:r>
        <w:rPr>
          <w:rFonts w:hint="eastAsia" w:ascii="仿宋" w:hAnsi="仿宋" w:eastAsia="仿宋" w:cs="仿宋"/>
          <w:color w:val="000000"/>
          <w:szCs w:val="32"/>
        </w:rPr>
        <w:t>定；</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（十一）集体经营性建设用地使用权收回、续期等规定；</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（十二）土地闲置认定；</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（十三）乡（镇）村公共设施和公益事业建设认定；</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（十四）原出让合同内容变更；</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（十五）其他要求：</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出让人和受让人接受监管的具体项目、监管要求、违约及整改、责任主体依据出让合同确定，并根据具体项目确定监管措施，具体内容以监管清单为准，见附件。</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w:t>
      </w:r>
      <w:r>
        <w:rPr>
          <w:rFonts w:hint="eastAsia" w:ascii="楷体" w:hAnsi="楷体" w:eastAsia="楷体" w:cs="楷体"/>
          <w:b/>
          <w:bCs/>
          <w:color w:val="000000"/>
          <w:szCs w:val="32"/>
        </w:rPr>
        <w:t>第五条</w:t>
      </w:r>
      <w:r>
        <w:rPr>
          <w:rFonts w:hint="eastAsia" w:ascii="仿宋" w:hAnsi="仿宋" w:eastAsia="仿宋" w:cs="仿宋"/>
          <w:color w:val="000000"/>
          <w:szCs w:val="32"/>
        </w:rPr>
        <w:t xml:space="preserve"> 本协议监管期限与出让合同中土地使用权的期限</w:t>
      </w:r>
      <w:r>
        <w:rPr>
          <w:rFonts w:hint="eastAsia" w:ascii="仿宋" w:hAnsi="仿宋" w:eastAsia="仿宋" w:cs="仿宋"/>
          <w:color w:val="000000"/>
          <w:spacing w:val="-6"/>
          <w:szCs w:val="32"/>
        </w:rPr>
        <w:t>一致，土地使用权的期限发生变化的，监管期限也随之相应改变。</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第六条</w:t>
      </w:r>
      <w:r>
        <w:rPr>
          <w:rFonts w:hint="eastAsia" w:ascii="仿宋" w:hAnsi="仿宋" w:eastAsia="仿宋" w:cs="仿宋"/>
          <w:color w:val="000000"/>
          <w:szCs w:val="32"/>
        </w:rPr>
        <w:t xml:space="preserve"> 监管人的监管采取出让人或受让人主动申请监管为主，结合监管人主动监管的方式进行。</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出让人或受让人主动申请监管是指出让人或受让人将合同履约情况及时告知监管人，监管人根据相关法律法规及政策文件要求，提出监管意见，并视情况采取相应监管措施。</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监管人认为需要对合同履约情况进行核查或纠正整改的，监管人可采取主动核查，并向出让人或受让人提出监管意见，并视情况采取相应监管措施。</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第七条</w:t>
      </w:r>
      <w:r>
        <w:rPr>
          <w:rFonts w:hint="eastAsia" w:ascii="仿宋" w:hAnsi="仿宋" w:eastAsia="仿宋" w:cs="仿宋"/>
          <w:color w:val="000000"/>
          <w:szCs w:val="32"/>
        </w:rPr>
        <w:t xml:space="preserve"> 监管人可采取以下监管措施：</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1.主动核查；</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2.责令出让人或受让人纠正或整改；</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3.将监管结果及时对外公布，涉及国家机密或商业秘密的除外；</w:t>
      </w:r>
    </w:p>
    <w:p>
      <w:pPr>
        <w:spacing w:after="0" w:line="590" w:lineRule="exact"/>
        <w:ind w:firstLine="640" w:firstLineChars="200"/>
        <w:rPr>
          <w:rFonts w:ascii="仿宋" w:hAnsi="仿宋" w:eastAsia="仿宋" w:cs="仿宋"/>
          <w:color w:val="000000"/>
          <w:spacing w:val="-6"/>
          <w:szCs w:val="32"/>
        </w:rPr>
      </w:pPr>
      <w:r>
        <w:rPr>
          <w:rFonts w:hint="eastAsia" w:ascii="仿宋" w:hAnsi="仿宋" w:eastAsia="仿宋" w:cs="仿宋"/>
          <w:color w:val="000000"/>
          <w:szCs w:val="32"/>
        </w:rPr>
        <w:t>4.</w:t>
      </w:r>
      <w:r>
        <w:rPr>
          <w:rFonts w:hint="eastAsia" w:ascii="仿宋" w:hAnsi="仿宋" w:eastAsia="仿宋" w:cs="仿宋"/>
          <w:color w:val="000000"/>
          <w:spacing w:val="-6"/>
          <w:szCs w:val="32"/>
        </w:rPr>
        <w:t>视情节轻重，将出让人或受让人的违约行为记入诚信档案；</w:t>
      </w:r>
    </w:p>
    <w:p>
      <w:pPr>
        <w:spacing w:after="0" w:line="59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5.</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pStyle w:val="6"/>
        <w:spacing w:before="0" w:after="0" w:line="590" w:lineRule="exact"/>
        <w:jc w:val="center"/>
        <w:rPr>
          <w:rFonts w:hint="eastAsia" w:ascii="黑体" w:hAnsi="黑体" w:eastAsia="黑体"/>
          <w:color w:val="000000"/>
          <w:sz w:val="32"/>
          <w:szCs w:val="32"/>
        </w:rPr>
      </w:pPr>
      <w:r>
        <w:rPr>
          <w:rFonts w:hint="eastAsia" w:ascii="黑体" w:hAnsi="黑体" w:eastAsia="黑体"/>
          <w:color w:val="000000"/>
          <w:sz w:val="32"/>
          <w:szCs w:val="32"/>
        </w:rPr>
        <w:t>第三章 权利与义务</w:t>
      </w:r>
    </w:p>
    <w:p>
      <w:pPr>
        <w:spacing w:after="0" w:line="59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第八条 </w:t>
      </w:r>
      <w:r>
        <w:rPr>
          <w:rFonts w:hint="eastAsia" w:ascii="仿宋" w:hAnsi="仿宋" w:eastAsia="仿宋" w:cs="仿宋"/>
          <w:bCs/>
          <w:color w:val="000000"/>
          <w:szCs w:val="32"/>
        </w:rPr>
        <w:t>出让人和受让人</w:t>
      </w:r>
      <w:r>
        <w:rPr>
          <w:rFonts w:hint="eastAsia" w:ascii="仿宋" w:hAnsi="仿宋" w:eastAsia="仿宋" w:cs="仿宋"/>
          <w:color w:val="000000"/>
          <w:szCs w:val="32"/>
        </w:rPr>
        <w:t>有权</w:t>
      </w:r>
      <w:r>
        <w:rPr>
          <w:rFonts w:hint="eastAsia" w:ascii="仿宋" w:hAnsi="仿宋" w:eastAsia="仿宋" w:cs="仿宋"/>
          <w:bCs/>
          <w:color w:val="000000"/>
          <w:szCs w:val="32"/>
        </w:rPr>
        <w:t>按照本协议约定的内容、期限及方式等</w:t>
      </w:r>
      <w:r>
        <w:rPr>
          <w:rFonts w:hint="eastAsia" w:ascii="仿宋" w:hAnsi="仿宋" w:eastAsia="仿宋" w:cs="仿宋"/>
          <w:color w:val="000000"/>
          <w:szCs w:val="32"/>
        </w:rPr>
        <w:t>要求监管人</w:t>
      </w:r>
      <w:r>
        <w:rPr>
          <w:rFonts w:hint="eastAsia" w:ascii="仿宋" w:hAnsi="仿宋" w:eastAsia="仿宋" w:cs="仿宋"/>
          <w:bCs/>
          <w:color w:val="000000"/>
          <w:szCs w:val="32"/>
        </w:rPr>
        <w:t>履行监管职责，并</w:t>
      </w:r>
      <w:r>
        <w:rPr>
          <w:rFonts w:hint="eastAsia" w:ascii="仿宋" w:hAnsi="仿宋" w:eastAsia="仿宋" w:cs="仿宋"/>
          <w:color w:val="000000"/>
          <w:szCs w:val="32"/>
        </w:rPr>
        <w:t>拒绝监管人不符合本协议约定的监管要求。</w:t>
      </w:r>
    </w:p>
    <w:p>
      <w:pPr>
        <w:spacing w:after="0" w:line="590" w:lineRule="exact"/>
        <w:ind w:firstLine="643" w:firstLineChars="200"/>
        <w:rPr>
          <w:rFonts w:ascii="仿宋" w:hAnsi="仿宋" w:eastAsia="仿宋" w:cs="仿宋"/>
          <w:bCs/>
          <w:color w:val="000000"/>
          <w:szCs w:val="32"/>
        </w:rPr>
      </w:pPr>
      <w:r>
        <w:rPr>
          <w:rFonts w:hint="eastAsia" w:ascii="楷体" w:hAnsi="楷体" w:eastAsia="楷体" w:cs="楷体"/>
          <w:b/>
          <w:bCs/>
          <w:color w:val="000000"/>
          <w:szCs w:val="32"/>
        </w:rPr>
        <w:t>第九条</w:t>
      </w:r>
      <w:r>
        <w:rPr>
          <w:rFonts w:hint="eastAsia" w:ascii="仿宋" w:hAnsi="仿宋" w:eastAsia="仿宋" w:cs="仿宋"/>
          <w:color w:val="000000"/>
          <w:szCs w:val="32"/>
        </w:rPr>
        <w:t xml:space="preserve"> </w:t>
      </w:r>
      <w:r>
        <w:rPr>
          <w:rFonts w:hint="eastAsia" w:ascii="仿宋" w:hAnsi="仿宋" w:eastAsia="仿宋" w:cs="仿宋"/>
          <w:bCs/>
          <w:color w:val="000000"/>
          <w:szCs w:val="32"/>
        </w:rPr>
        <w:t>出让人和受让人应按照出让合同、本协议的约定及</w:t>
      </w:r>
      <w:r>
        <w:rPr>
          <w:rFonts w:hint="eastAsia" w:ascii="仿宋" w:hAnsi="仿宋" w:eastAsia="仿宋" w:cs="仿宋"/>
          <w:color w:val="000000"/>
          <w:szCs w:val="32"/>
        </w:rPr>
        <w:t>相关法律法规及政策文件要求</w:t>
      </w:r>
      <w:r>
        <w:rPr>
          <w:rFonts w:hint="eastAsia" w:ascii="仿宋" w:hAnsi="仿宋" w:eastAsia="仿宋" w:cs="仿宋"/>
          <w:bCs/>
          <w:color w:val="000000"/>
          <w:szCs w:val="32"/>
        </w:rPr>
        <w:t>实施土地开发利用和保护，并自觉申请和配合监管人根据</w:t>
      </w:r>
      <w:r>
        <w:rPr>
          <w:rFonts w:hint="eastAsia" w:ascii="仿宋" w:hAnsi="仿宋" w:eastAsia="仿宋" w:cs="仿宋"/>
          <w:color w:val="000000"/>
          <w:szCs w:val="32"/>
        </w:rPr>
        <w:t>相关法律法规及政策文件要求</w:t>
      </w:r>
      <w:r>
        <w:rPr>
          <w:rFonts w:hint="eastAsia" w:ascii="仿宋" w:hAnsi="仿宋" w:eastAsia="仿宋" w:cs="仿宋"/>
          <w:bCs/>
          <w:color w:val="000000"/>
          <w:szCs w:val="32"/>
        </w:rPr>
        <w:t>、出让合同和本协议所进行的监管。</w:t>
      </w:r>
    </w:p>
    <w:p>
      <w:pPr>
        <w:spacing w:after="0" w:line="590" w:lineRule="exact"/>
        <w:ind w:firstLine="640" w:firstLineChars="200"/>
        <w:rPr>
          <w:rFonts w:ascii="仿宋" w:hAnsi="仿宋" w:eastAsia="仿宋" w:cs="仿宋"/>
          <w:bCs/>
          <w:color w:val="000000"/>
          <w:szCs w:val="32"/>
        </w:rPr>
      </w:pPr>
      <w:r>
        <w:rPr>
          <w:rFonts w:hint="eastAsia" w:ascii="仿宋" w:hAnsi="仿宋" w:eastAsia="仿宋" w:cs="仿宋"/>
          <w:bCs/>
          <w:color w:val="000000"/>
          <w:szCs w:val="32"/>
        </w:rPr>
        <w:t>出让人和受让人有义务如实提供情况和必要的资料，不得拒绝和阻挠监管。对出让人或受让人未按合同约定需要承担违约责任的，另一方当事人应向监管人提供相关凭证。</w:t>
      </w:r>
    </w:p>
    <w:p>
      <w:pPr>
        <w:spacing w:after="0" w:line="560" w:lineRule="exact"/>
        <w:ind w:firstLine="643" w:firstLineChars="200"/>
        <w:rPr>
          <w:rFonts w:ascii="仿宋" w:hAnsi="仿宋" w:eastAsia="仿宋" w:cs="仿宋"/>
          <w:bCs/>
          <w:color w:val="000000"/>
          <w:szCs w:val="32"/>
        </w:rPr>
      </w:pPr>
      <w:r>
        <w:rPr>
          <w:rFonts w:hint="eastAsia" w:ascii="楷体" w:hAnsi="楷体" w:eastAsia="楷体" w:cs="楷体"/>
          <w:b/>
          <w:bCs/>
          <w:color w:val="000000"/>
          <w:szCs w:val="32"/>
        </w:rPr>
        <w:t>第十条</w:t>
      </w:r>
      <w:r>
        <w:rPr>
          <w:rFonts w:hint="eastAsia" w:ascii="仿宋" w:hAnsi="仿宋" w:eastAsia="仿宋" w:cs="仿宋"/>
          <w:color w:val="000000"/>
          <w:szCs w:val="32"/>
        </w:rPr>
        <w:t xml:space="preserve"> </w:t>
      </w:r>
      <w:r>
        <w:rPr>
          <w:rFonts w:hint="eastAsia" w:ascii="仿宋" w:hAnsi="仿宋" w:eastAsia="仿宋" w:cs="仿宋"/>
          <w:bCs/>
          <w:color w:val="000000"/>
          <w:szCs w:val="32"/>
        </w:rPr>
        <w:t>监管人有权按照本协议约定的内容、期限及方式等履行监管职责。在监管期限内，监管人有权根据具体情况，选择本协议约定范围内的监管方式和监管措施。</w:t>
      </w:r>
    </w:p>
    <w:p>
      <w:pPr>
        <w:spacing w:after="0" w:line="560" w:lineRule="exact"/>
        <w:ind w:firstLine="640" w:firstLineChars="200"/>
        <w:rPr>
          <w:rFonts w:ascii="仿宋" w:hAnsi="仿宋" w:eastAsia="仿宋" w:cs="仿宋"/>
          <w:bCs/>
          <w:color w:val="000000"/>
          <w:szCs w:val="32"/>
        </w:rPr>
      </w:pPr>
      <w:r>
        <w:rPr>
          <w:rFonts w:hint="eastAsia" w:ascii="仿宋" w:hAnsi="仿宋" w:eastAsia="仿宋" w:cs="仿宋"/>
          <w:bCs/>
          <w:color w:val="000000"/>
          <w:szCs w:val="32"/>
        </w:rPr>
        <w:t>监管人有权对被监管人提交的情况或资料进行核查，认为提交的材料不符合要求的可要求其再行提交。</w:t>
      </w:r>
    </w:p>
    <w:p>
      <w:pPr>
        <w:spacing w:after="0" w:line="560" w:lineRule="exact"/>
        <w:ind w:firstLine="643" w:firstLineChars="200"/>
        <w:rPr>
          <w:rFonts w:ascii="仿宋" w:hAnsi="仿宋" w:eastAsia="仿宋" w:cs="仿宋"/>
          <w:bCs/>
          <w:color w:val="000000"/>
          <w:szCs w:val="32"/>
        </w:rPr>
      </w:pPr>
      <w:r>
        <w:rPr>
          <w:rFonts w:hint="eastAsia" w:ascii="楷体" w:hAnsi="楷体" w:eastAsia="楷体" w:cs="楷体"/>
          <w:b/>
          <w:bCs/>
          <w:color w:val="000000"/>
          <w:szCs w:val="32"/>
        </w:rPr>
        <w:t>第十一条</w:t>
      </w:r>
      <w:r>
        <w:rPr>
          <w:rFonts w:hint="eastAsia" w:ascii="仿宋" w:hAnsi="仿宋" w:eastAsia="仿宋" w:cs="仿宋"/>
          <w:color w:val="000000"/>
          <w:szCs w:val="32"/>
        </w:rPr>
        <w:t xml:space="preserve"> </w:t>
      </w:r>
      <w:r>
        <w:rPr>
          <w:rFonts w:hint="eastAsia" w:ascii="仿宋" w:hAnsi="仿宋" w:eastAsia="仿宋" w:cs="仿宋"/>
          <w:bCs/>
          <w:color w:val="000000"/>
          <w:szCs w:val="32"/>
        </w:rPr>
        <w:t>监管人有义务为出让人和受让人在出让合同签订、履约等过程中提供必要的服务，并及时将监管情况告知出让人和受让人。</w:t>
      </w:r>
    </w:p>
    <w:p>
      <w:pPr>
        <w:spacing w:after="0" w:line="560" w:lineRule="exact"/>
        <w:jc w:val="center"/>
        <w:rPr>
          <w:rFonts w:ascii="黑体" w:hAnsi="黑体" w:eastAsia="黑体" w:cs="黑体"/>
          <w:color w:val="000000"/>
          <w:szCs w:val="32"/>
        </w:rPr>
      </w:pPr>
      <w:r>
        <w:rPr>
          <w:rFonts w:hint="eastAsia" w:ascii="黑体" w:hAnsi="黑体" w:eastAsia="黑体" w:cs="黑体"/>
          <w:color w:val="000000"/>
          <w:szCs w:val="32"/>
        </w:rPr>
        <w:t>第四章 法律责任</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第十二条</w:t>
      </w:r>
      <w:r>
        <w:rPr>
          <w:rFonts w:hint="eastAsia" w:ascii="仿宋" w:hAnsi="仿宋" w:eastAsia="仿宋" w:cs="仿宋"/>
          <w:color w:val="000000"/>
          <w:szCs w:val="32"/>
        </w:rPr>
        <w:t xml:space="preserve"> 出让人和受让人履行出让合同过程中存在违约行为的应根据出让合同约定承担违约责任。</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出让人和受让人不履行出让合同约定义务且拒不纠正或整改的，或违反本协议不申请不配合监管人监管的，应根据本协议的约定接受监管人按本协议第七条采取的监管措施，并承担相应的经济责任和法律责任。</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第十三条</w:t>
      </w:r>
      <w:r>
        <w:rPr>
          <w:rFonts w:hint="eastAsia" w:ascii="仿宋" w:hAnsi="仿宋" w:eastAsia="仿宋" w:cs="仿宋"/>
          <w:color w:val="000000"/>
          <w:szCs w:val="32"/>
        </w:rPr>
        <w:t xml:space="preserve"> 监管人未按本协议及时履行监管职责、告知义务，或违反本协议的约定滥用监管权造成出让人或受让人损失的，应赔偿出让人或受让人的实际损失。</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第十四条</w:t>
      </w:r>
      <w:r>
        <w:rPr>
          <w:rFonts w:hint="eastAsia" w:ascii="仿宋" w:hAnsi="仿宋" w:eastAsia="仿宋" w:cs="仿宋"/>
          <w:color w:val="000000"/>
          <w:szCs w:val="32"/>
        </w:rPr>
        <w:t xml:space="preserve"> 本协议三方当事人根据本协议承担违约责任，不影响有关部门依法追究其他相关法律责任。</w:t>
      </w:r>
    </w:p>
    <w:p>
      <w:pPr>
        <w:spacing w:after="0" w:line="560" w:lineRule="exact"/>
        <w:jc w:val="center"/>
        <w:rPr>
          <w:rFonts w:ascii="黑体" w:hAnsi="黑体" w:eastAsia="黑体" w:cs="黑体"/>
          <w:color w:val="000000"/>
          <w:szCs w:val="32"/>
        </w:rPr>
      </w:pPr>
      <w:r>
        <w:rPr>
          <w:rStyle w:val="19"/>
          <w:rFonts w:hint="eastAsia" w:ascii="黑体" w:hAnsi="黑体" w:eastAsia="黑体" w:cs="黑体"/>
          <w:b w:val="0"/>
          <w:color w:val="000000"/>
          <w:szCs w:val="32"/>
        </w:rPr>
        <w:t>第五章 不可抗力</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 xml:space="preserve">第十五条 </w:t>
      </w:r>
      <w:r>
        <w:rPr>
          <w:rFonts w:hint="eastAsia" w:ascii="仿宋" w:hAnsi="仿宋" w:eastAsia="仿宋" w:cs="仿宋"/>
          <w:color w:val="000000"/>
          <w:szCs w:val="32"/>
        </w:rPr>
        <w:t xml:space="preserve"> 本协议三方当事人任何一方由于不可抗力原因造成的本协议部分或全部不能履行，可以免除违约责任，但应在条件允许下采取一切必要的补救措施以减少因不可抗力造成</w:t>
      </w:r>
      <w:r>
        <w:rPr>
          <w:rFonts w:hint="eastAsia" w:ascii="仿宋" w:hAnsi="仿宋" w:eastAsia="仿宋" w:cs="仿宋"/>
          <w:color w:val="000000"/>
          <w:spacing w:val="-6"/>
          <w:szCs w:val="32"/>
        </w:rPr>
        <w:t>的损失。当事人迟延履行期间发生的不可抗力，不具有免责效力。</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第十六条</w:t>
      </w:r>
      <w:r>
        <w:rPr>
          <w:rFonts w:hint="eastAsia" w:ascii="仿宋" w:hAnsi="仿宋" w:eastAsia="仿宋" w:cs="仿宋"/>
          <w:color w:val="000000"/>
          <w:szCs w:val="32"/>
        </w:rPr>
        <w:t xml:space="preserve">  不可抗力事件发生后，遇有不可抗力的一方应当在力所能及的条件下迅速采取措施，尽力减少损失，尽快（最迟不得晚于不可抗力事件结束后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天内）向其他各方书面告知有关情况。不可抗力结束后</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天内，向其他各方提交本协议部分或全部不能履行或需要延期履行的报告及证明，并协商具体处理办法。</w:t>
      </w:r>
    </w:p>
    <w:p>
      <w:pPr>
        <w:pStyle w:val="16"/>
        <w:widowControl w:val="0"/>
        <w:spacing w:after="0" w:line="560" w:lineRule="exact"/>
        <w:jc w:val="center"/>
        <w:rPr>
          <w:rFonts w:ascii="黑体" w:hAnsi="黑体" w:eastAsia="黑体" w:cs="黑体"/>
          <w:color w:val="000000"/>
          <w:sz w:val="32"/>
          <w:szCs w:val="32"/>
        </w:rPr>
      </w:pPr>
      <w:r>
        <w:rPr>
          <w:rStyle w:val="19"/>
          <w:rFonts w:hint="eastAsia" w:ascii="黑体" w:hAnsi="黑体" w:eastAsia="黑体" w:cs="黑体"/>
          <w:b w:val="0"/>
          <w:color w:val="000000"/>
          <w:sz w:val="32"/>
          <w:szCs w:val="32"/>
        </w:rPr>
        <w:t>第六章 适用法律及争议解决</w:t>
      </w:r>
      <w:r>
        <w:rPr>
          <w:rFonts w:hint="eastAsia" w:ascii="黑体" w:hAnsi="黑体" w:eastAsia="黑体" w:cs="黑体"/>
          <w:color w:val="000000"/>
          <w:sz w:val="32"/>
          <w:szCs w:val="32"/>
        </w:rPr>
        <w:t> </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第十七条</w:t>
      </w:r>
      <w:r>
        <w:rPr>
          <w:rFonts w:hint="eastAsia" w:ascii="仿宋" w:hAnsi="仿宋" w:eastAsia="仿宋" w:cs="仿宋"/>
          <w:color w:val="000000"/>
          <w:szCs w:val="32"/>
        </w:rPr>
        <w:t xml:space="preserve"> 本协议订立、效力、解释、履行及争议的解决，适用中华人民共和国法律。</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第十八条</w:t>
      </w:r>
      <w:r>
        <w:rPr>
          <w:rFonts w:hint="eastAsia" w:ascii="仿宋" w:hAnsi="仿宋" w:eastAsia="仿宋" w:cs="仿宋"/>
          <w:color w:val="000000"/>
          <w:szCs w:val="32"/>
        </w:rPr>
        <w:t xml:space="preserve"> 因履行本协议发生争议，由协议当事各方协商解决，协商不成的，按本条第</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项约定的方式解决：</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（一）提交</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仲裁委员会仲裁；</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（二）依法向人民法院提起诉讼；</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（三）</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因仲裁或诉讼引起的仲裁费用、诉讼费用、评估拍卖费用、律师费用等相关费用由败诉方承担。</w:t>
      </w:r>
    </w:p>
    <w:p>
      <w:pPr>
        <w:pStyle w:val="16"/>
        <w:widowControl w:val="0"/>
        <w:spacing w:after="0" w:line="560" w:lineRule="exact"/>
        <w:jc w:val="center"/>
        <w:rPr>
          <w:rStyle w:val="19"/>
          <w:rFonts w:ascii="黑体" w:hAnsi="黑体" w:eastAsia="黑体" w:cs="黑体"/>
          <w:b w:val="0"/>
          <w:color w:val="000000"/>
          <w:sz w:val="32"/>
          <w:szCs w:val="32"/>
        </w:rPr>
      </w:pPr>
      <w:bookmarkStart w:id="21" w:name="FOURTYTH_TERM"/>
      <w:bookmarkEnd w:id="21"/>
      <w:r>
        <w:rPr>
          <w:rStyle w:val="19"/>
          <w:rFonts w:hint="eastAsia" w:ascii="黑体" w:hAnsi="黑体" w:eastAsia="黑体" w:cs="黑体"/>
          <w:b w:val="0"/>
          <w:color w:val="000000"/>
          <w:sz w:val="32"/>
          <w:szCs w:val="32"/>
        </w:rPr>
        <w:t>第七章 附 则</w:t>
      </w:r>
    </w:p>
    <w:p>
      <w:pPr>
        <w:spacing w:after="0" w:line="560" w:lineRule="exact"/>
        <w:ind w:firstLine="643" w:firstLineChars="200"/>
        <w:rPr>
          <w:rFonts w:ascii="仿宋" w:hAnsi="仿宋" w:eastAsia="仿宋" w:cs="仿宋"/>
          <w:color w:val="000000"/>
          <w:szCs w:val="32"/>
        </w:rPr>
      </w:pPr>
      <w:bookmarkStart w:id="22" w:name="人民政府"/>
      <w:bookmarkEnd w:id="22"/>
      <w:r>
        <w:rPr>
          <w:rFonts w:hint="eastAsia" w:ascii="楷体" w:hAnsi="楷体" w:eastAsia="楷体" w:cs="楷体"/>
          <w:b/>
          <w:bCs/>
          <w:color w:val="000000"/>
          <w:szCs w:val="32"/>
        </w:rPr>
        <w:t>第十九条</w:t>
      </w:r>
      <w:r>
        <w:rPr>
          <w:rFonts w:hint="eastAsia" w:ascii="仿宋" w:hAnsi="仿宋" w:eastAsia="仿宋" w:cs="仿宋"/>
          <w:color w:val="000000"/>
          <w:szCs w:val="32"/>
        </w:rPr>
        <w:t xml:space="preserve"> 本协议与出让合同配套使用，且自三方当事人签订之日起生效。出让人、受让人签订补充合同或变更调整出让合同的，亦应签定补充监管协议。</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第二十条</w:t>
      </w:r>
      <w:r>
        <w:rPr>
          <w:rFonts w:hint="eastAsia" w:ascii="仿宋" w:hAnsi="仿宋" w:eastAsia="仿宋" w:cs="仿宋"/>
          <w:color w:val="000000"/>
          <w:szCs w:val="32"/>
        </w:rPr>
        <w:t xml:space="preserve"> 本协议三方当事人均保证本协议中所填写的姓名、通讯地址、电话、传真、开户银行、代理人等内容真实有效。如有变更，应于变更之日起15个工作日内以书面形式告知</w:t>
      </w:r>
      <w:r>
        <w:rPr>
          <w:rFonts w:hint="eastAsia" w:ascii="仿宋" w:hAnsi="仿宋" w:eastAsia="仿宋" w:cs="仿宋"/>
          <w:color w:val="000000"/>
          <w:spacing w:val="-6"/>
          <w:szCs w:val="32"/>
        </w:rPr>
        <w:t>其余各方。因信息更新不及时告知产生的责任由信息变更方承担</w:t>
      </w:r>
      <w:r>
        <w:rPr>
          <w:rFonts w:hint="eastAsia" w:ascii="仿宋" w:hAnsi="仿宋" w:eastAsia="仿宋" w:cs="仿宋"/>
          <w:color w:val="000000"/>
          <w:szCs w:val="32"/>
        </w:rPr>
        <w:t>。</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第二十一条</w:t>
      </w:r>
      <w:r>
        <w:rPr>
          <w:rFonts w:hint="eastAsia" w:ascii="仿宋" w:hAnsi="仿宋" w:eastAsia="仿宋" w:cs="仿宋"/>
          <w:color w:val="000000"/>
          <w:szCs w:val="32"/>
        </w:rPr>
        <w:t xml:space="preserve">  本协议和附件共</w:t>
      </w:r>
      <w:bookmarkStart w:id="23" w:name="pages"/>
      <w:bookmarkEnd w:id="23"/>
      <w:r>
        <w:rPr>
          <w:rFonts w:hint="eastAsia" w:ascii="仿宋" w:hAnsi="仿宋" w:eastAsia="仿宋" w:cs="仿宋"/>
          <w:color w:val="000000"/>
          <w:szCs w:val="32"/>
          <w:u w:val="single"/>
        </w:rPr>
        <w:t xml:space="preserve">    </w:t>
      </w:r>
      <w:r>
        <w:rPr>
          <w:rFonts w:hint="eastAsia" w:ascii="仿宋" w:hAnsi="仿宋" w:eastAsia="仿宋" w:cs="仿宋"/>
          <w:color w:val="000000"/>
          <w:szCs w:val="32"/>
        </w:rPr>
        <w:t>页，以中文书写为准。</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第二十二条</w:t>
      </w:r>
      <w:r>
        <w:rPr>
          <w:rFonts w:hint="eastAsia" w:ascii="仿宋" w:hAnsi="仿宋" w:eastAsia="仿宋" w:cs="仿宋"/>
          <w:color w:val="000000"/>
          <w:szCs w:val="32"/>
        </w:rPr>
        <w:t xml:space="preserve">  本协议的价款、金额、面积等项应当同时以大、小写表示，大小写数额应当一致，不一致的，以大写为准。</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第二十三条</w:t>
      </w:r>
      <w:r>
        <w:rPr>
          <w:rFonts w:hint="eastAsia" w:ascii="仿宋" w:hAnsi="仿宋" w:eastAsia="仿宋" w:cs="仿宋"/>
          <w:color w:val="000000"/>
          <w:szCs w:val="32"/>
        </w:rPr>
        <w:t xml:space="preserve">  本协议未尽事宜，可由协议当事各方约定后作为协议附件，与本协议具有同等法律效力。</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第二十四条</w:t>
      </w:r>
      <w:r>
        <w:rPr>
          <w:rFonts w:hint="eastAsia" w:ascii="仿宋" w:hAnsi="仿宋" w:eastAsia="仿宋" w:cs="仿宋"/>
          <w:color w:val="000000"/>
          <w:szCs w:val="32"/>
        </w:rPr>
        <w:t xml:space="preserve">  以出租等方式供应集体经营性建设用地使用权的，参照本监管协议执行。</w:t>
      </w:r>
    </w:p>
    <w:p>
      <w:pPr>
        <w:spacing w:after="0" w:line="560" w:lineRule="exact"/>
        <w:ind w:firstLine="643" w:firstLineChars="200"/>
        <w:rPr>
          <w:rFonts w:ascii="仿宋" w:hAnsi="仿宋" w:eastAsia="仿宋" w:cs="仿宋"/>
          <w:color w:val="000000"/>
          <w:szCs w:val="32"/>
        </w:rPr>
      </w:pPr>
      <w:r>
        <w:rPr>
          <w:rFonts w:hint="eastAsia" w:ascii="楷体" w:hAnsi="楷体" w:eastAsia="楷体" w:cs="楷体"/>
          <w:b/>
          <w:bCs/>
          <w:color w:val="000000"/>
          <w:szCs w:val="32"/>
        </w:rPr>
        <w:t>第二十五条</w:t>
      </w:r>
      <w:r>
        <w:rPr>
          <w:rFonts w:hint="eastAsia" w:ascii="仿宋" w:hAnsi="仿宋" w:eastAsia="仿宋" w:cs="仿宋"/>
          <w:color w:val="000000"/>
          <w:szCs w:val="32"/>
        </w:rPr>
        <w:t xml:space="preserve">  本协议</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份，三方当事人各执</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份，具有同等法律效力。</w:t>
      </w:r>
    </w:p>
    <w:p>
      <w:pPr>
        <w:adjustRightInd w:val="0"/>
        <w:snapToGrid w:val="0"/>
        <w:spacing w:after="0" w:line="560" w:lineRule="exact"/>
        <w:rPr>
          <w:rFonts w:ascii="仿宋" w:hAnsi="仿宋" w:eastAsia="仿宋" w:cs="仿宋"/>
          <w:color w:val="000000"/>
          <w:szCs w:val="32"/>
        </w:rPr>
      </w:pPr>
    </w:p>
    <w:p>
      <w:pPr>
        <w:adjustRightInd w:val="0"/>
        <w:snapToGrid w:val="0"/>
        <w:spacing w:after="0" w:line="560" w:lineRule="exact"/>
        <w:rPr>
          <w:rFonts w:ascii="仿宋" w:hAnsi="仿宋" w:eastAsia="仿宋" w:cs="仿宋"/>
          <w:color w:val="000000"/>
          <w:szCs w:val="32"/>
        </w:rPr>
      </w:pPr>
      <w:r>
        <w:rPr>
          <w:rFonts w:hint="eastAsia" w:ascii="仿宋" w:hAnsi="仿宋" w:eastAsia="仿宋" w:cs="仿宋"/>
          <w:color w:val="000000"/>
          <w:szCs w:val="32"/>
        </w:rPr>
        <w:t xml:space="preserve">出让人（章）：                   受让人（章）：                                      </w:t>
      </w:r>
    </w:p>
    <w:p>
      <w:pPr>
        <w:adjustRightInd w:val="0"/>
        <w:snapToGrid w:val="0"/>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w:t>
      </w:r>
    </w:p>
    <w:p>
      <w:pPr>
        <w:adjustRightInd w:val="0"/>
        <w:snapToGrid w:val="0"/>
        <w:spacing w:after="0" w:line="560" w:lineRule="exact"/>
        <w:rPr>
          <w:rFonts w:ascii="仿宋" w:hAnsi="仿宋" w:eastAsia="仿宋" w:cs="仿宋"/>
          <w:color w:val="000000"/>
          <w:szCs w:val="32"/>
        </w:rPr>
      </w:pPr>
      <w:r>
        <w:rPr>
          <w:rFonts w:hint="eastAsia" w:ascii="仿宋" w:hAnsi="仿宋" w:eastAsia="仿宋" w:cs="仿宋"/>
          <w:color w:val="000000"/>
          <w:szCs w:val="32"/>
        </w:rPr>
        <w:t>法定代表人（委托代理人）：     法定代表人（委托代理人）：</w:t>
      </w:r>
    </w:p>
    <w:p>
      <w:pPr>
        <w:adjustRightInd w:val="0"/>
        <w:snapToGrid w:val="0"/>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(签字)：                      （签字）：</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w:t>
      </w:r>
    </w:p>
    <w:p>
      <w:pPr>
        <w:spacing w:after="0" w:line="560" w:lineRule="exact"/>
        <w:rPr>
          <w:rFonts w:ascii="仿宋" w:hAnsi="仿宋" w:eastAsia="仿宋" w:cs="仿宋"/>
          <w:color w:val="000000"/>
          <w:szCs w:val="32"/>
        </w:rPr>
      </w:pPr>
      <w:r>
        <w:rPr>
          <w:rFonts w:hint="eastAsia" w:ascii="仿宋" w:hAnsi="仿宋" w:eastAsia="仿宋" w:cs="仿宋"/>
          <w:color w:val="000000"/>
          <w:szCs w:val="32"/>
        </w:rPr>
        <w:t>监管人（章）：</w:t>
      </w:r>
    </w:p>
    <w:p>
      <w:pPr>
        <w:adjustRightInd w:val="0"/>
        <w:snapToGrid w:val="0"/>
        <w:spacing w:after="0" w:line="560" w:lineRule="exact"/>
        <w:ind w:firstLine="640" w:firstLineChars="200"/>
        <w:rPr>
          <w:rFonts w:ascii="仿宋" w:hAnsi="仿宋" w:eastAsia="仿宋" w:cs="仿宋"/>
          <w:color w:val="000000"/>
          <w:szCs w:val="32"/>
        </w:rPr>
      </w:pPr>
    </w:p>
    <w:p>
      <w:pPr>
        <w:adjustRightInd w:val="0"/>
        <w:snapToGrid w:val="0"/>
        <w:spacing w:after="0" w:line="560" w:lineRule="exact"/>
        <w:rPr>
          <w:rFonts w:ascii="仿宋" w:hAnsi="仿宋" w:eastAsia="仿宋" w:cs="仿宋"/>
          <w:color w:val="000000"/>
          <w:szCs w:val="32"/>
        </w:rPr>
      </w:pPr>
      <w:r>
        <w:rPr>
          <w:rFonts w:hint="eastAsia" w:ascii="仿宋" w:hAnsi="仿宋" w:eastAsia="仿宋" w:cs="仿宋"/>
          <w:color w:val="000000"/>
          <w:szCs w:val="32"/>
        </w:rPr>
        <w:t xml:space="preserve">法定代表人（委托代理人）：    </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(签字)：                           </w:t>
      </w:r>
    </w:p>
    <w:p>
      <w:pPr>
        <w:spacing w:after="0" w:line="560" w:lineRule="exact"/>
        <w:ind w:firstLine="640" w:firstLineChars="200"/>
        <w:rPr>
          <w:rFonts w:ascii="仿宋" w:hAnsi="仿宋" w:eastAsia="仿宋" w:cs="仿宋"/>
          <w:color w:val="000000"/>
          <w:szCs w:val="32"/>
        </w:rPr>
      </w:pPr>
      <w:r>
        <w:rPr>
          <w:rFonts w:hint="eastAsia" w:ascii="仿宋" w:hAnsi="仿宋" w:eastAsia="仿宋" w:cs="仿宋"/>
          <w:color w:val="000000"/>
          <w:szCs w:val="32"/>
        </w:rPr>
        <w:t xml:space="preserve">                    签订日期：</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年</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月</w:t>
      </w:r>
      <w:r>
        <w:rPr>
          <w:rFonts w:hint="eastAsia" w:ascii="仿宋" w:hAnsi="仿宋" w:eastAsia="仿宋" w:cs="仿宋"/>
          <w:color w:val="000000"/>
          <w:szCs w:val="32"/>
          <w:u w:val="single"/>
        </w:rPr>
        <w:t xml:space="preserve">   </w:t>
      </w:r>
      <w:r>
        <w:rPr>
          <w:rFonts w:hint="eastAsia" w:ascii="仿宋" w:hAnsi="仿宋" w:eastAsia="仿宋" w:cs="仿宋"/>
          <w:color w:val="000000"/>
          <w:szCs w:val="32"/>
        </w:rPr>
        <w:t>日</w:t>
      </w:r>
    </w:p>
    <w:p>
      <w:pPr>
        <w:spacing w:after="0" w:line="240" w:lineRule="auto"/>
        <w:jc w:val="left"/>
        <w:rPr>
          <w:rFonts w:eastAsia="黑体"/>
          <w:color w:val="000000"/>
          <w:sz w:val="36"/>
        </w:rPr>
      </w:pPr>
      <w:r>
        <w:rPr>
          <w:rFonts w:hint="eastAsia" w:eastAsia="黑体"/>
          <w:color w:val="000000"/>
          <w:sz w:val="36"/>
        </w:rPr>
        <w:br w:type="page"/>
      </w:r>
      <w:r>
        <w:rPr>
          <w:rFonts w:hint="eastAsia" w:eastAsia="黑体"/>
          <w:color w:val="000000"/>
          <w:sz w:val="36"/>
        </w:rPr>
        <w:t>附件</w:t>
      </w:r>
    </w:p>
    <w:p>
      <w:pPr>
        <w:pStyle w:val="6"/>
        <w:spacing w:before="0" w:after="0" w:line="240" w:lineRule="auto"/>
        <w:jc w:val="center"/>
        <w:rPr>
          <w:rFonts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rPr>
        <w:t>监管清单（样式）</w:t>
      </w:r>
    </w:p>
    <w:tbl>
      <w:tblPr>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867"/>
        <w:gridCol w:w="1842"/>
        <w:gridCol w:w="3220"/>
        <w:gridCol w:w="2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7" w:hRule="atLeast"/>
          <w:jc w:val="center"/>
        </w:trPr>
        <w:tc>
          <w:tcPr>
            <w:tcW w:w="631" w:type="dxa"/>
            <w:vAlign w:val="center"/>
          </w:tcPr>
          <w:p>
            <w:pPr>
              <w:jc w:val="center"/>
              <w:rPr>
                <w:rFonts w:ascii="黑体" w:hAnsi="黑体" w:eastAsia="黑体" w:cs="黑体"/>
                <w:bCs/>
                <w:color w:val="000000"/>
                <w:szCs w:val="21"/>
              </w:rPr>
            </w:pPr>
          </w:p>
        </w:tc>
        <w:tc>
          <w:tcPr>
            <w:tcW w:w="867" w:type="dxa"/>
            <w:vAlign w:val="center"/>
          </w:tcPr>
          <w:p>
            <w:pPr>
              <w:jc w:val="center"/>
              <w:rPr>
                <w:rFonts w:ascii="黑体" w:hAnsi="黑体" w:eastAsia="黑体" w:cs="黑体"/>
                <w:bCs/>
                <w:color w:val="000000"/>
                <w:szCs w:val="21"/>
              </w:rPr>
            </w:pPr>
            <w:r>
              <w:rPr>
                <w:rFonts w:hint="eastAsia" w:ascii="黑体" w:hAnsi="黑体" w:eastAsia="黑体" w:cs="黑体"/>
                <w:bCs/>
                <w:color w:val="000000"/>
                <w:szCs w:val="21"/>
              </w:rPr>
              <w:t>监管事项</w:t>
            </w:r>
          </w:p>
        </w:tc>
        <w:tc>
          <w:tcPr>
            <w:tcW w:w="1842" w:type="dxa"/>
            <w:vAlign w:val="center"/>
          </w:tcPr>
          <w:p>
            <w:pPr>
              <w:jc w:val="center"/>
              <w:rPr>
                <w:rFonts w:ascii="黑体" w:hAnsi="黑体" w:eastAsia="黑体" w:cs="黑体"/>
                <w:bCs/>
                <w:color w:val="000000"/>
                <w:szCs w:val="21"/>
              </w:rPr>
            </w:pPr>
            <w:r>
              <w:rPr>
                <w:rFonts w:hint="eastAsia" w:ascii="黑体" w:hAnsi="黑体" w:eastAsia="黑体" w:cs="黑体"/>
                <w:bCs/>
                <w:color w:val="000000"/>
                <w:szCs w:val="21"/>
              </w:rPr>
              <w:t>监管要求</w:t>
            </w:r>
          </w:p>
        </w:tc>
        <w:tc>
          <w:tcPr>
            <w:tcW w:w="3220" w:type="dxa"/>
            <w:vAlign w:val="center"/>
          </w:tcPr>
          <w:p>
            <w:pPr>
              <w:jc w:val="center"/>
              <w:rPr>
                <w:rFonts w:ascii="黑体" w:hAnsi="黑体" w:eastAsia="黑体" w:cs="黑体"/>
                <w:bCs/>
                <w:color w:val="000000"/>
                <w:szCs w:val="21"/>
              </w:rPr>
            </w:pPr>
            <w:r>
              <w:rPr>
                <w:rFonts w:hint="eastAsia" w:ascii="黑体" w:hAnsi="黑体" w:eastAsia="黑体" w:cs="黑体"/>
                <w:bCs/>
                <w:color w:val="000000"/>
                <w:szCs w:val="21"/>
              </w:rPr>
              <w:t>监管方案</w:t>
            </w:r>
          </w:p>
        </w:tc>
        <w:tc>
          <w:tcPr>
            <w:tcW w:w="2500" w:type="dxa"/>
            <w:vAlign w:val="center"/>
          </w:tcPr>
          <w:p>
            <w:pPr>
              <w:jc w:val="center"/>
              <w:rPr>
                <w:rFonts w:ascii="黑体" w:hAnsi="黑体" w:eastAsia="黑体" w:cs="黑体"/>
                <w:bCs/>
                <w:color w:val="000000"/>
                <w:szCs w:val="21"/>
              </w:rPr>
            </w:pPr>
            <w:r>
              <w:rPr>
                <w:rFonts w:hint="eastAsia" w:ascii="黑体" w:hAnsi="黑体" w:eastAsia="黑体" w:cs="黑体"/>
                <w:bCs/>
                <w:color w:val="000000"/>
                <w:szCs w:val="21"/>
              </w:rPr>
              <w:t>违约整改要求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631" w:type="dxa"/>
            <w:vMerge w:val="restart"/>
            <w:vAlign w:val="center"/>
          </w:tcPr>
          <w:p>
            <w:pPr>
              <w:jc w:val="center"/>
              <w:rPr>
                <w:rFonts w:ascii="仿宋" w:hAnsi="仿宋" w:eastAsia="仿宋" w:cs="仿宋"/>
                <w:bCs/>
                <w:color w:val="000000"/>
                <w:szCs w:val="21"/>
              </w:rPr>
            </w:pPr>
          </w:p>
        </w:tc>
        <w:tc>
          <w:tcPr>
            <w:tcW w:w="867" w:type="dxa"/>
            <w:vAlign w:val="center"/>
          </w:tcPr>
          <w:p>
            <w:pPr>
              <w:rPr>
                <w:rFonts w:ascii="仿宋" w:hAnsi="仿宋" w:eastAsia="仿宋" w:cs="仿宋"/>
                <w:bCs/>
                <w:color w:val="000000"/>
                <w:szCs w:val="21"/>
              </w:rPr>
            </w:pPr>
          </w:p>
        </w:tc>
        <w:tc>
          <w:tcPr>
            <w:tcW w:w="1842" w:type="dxa"/>
            <w:vAlign w:val="center"/>
          </w:tcPr>
          <w:p>
            <w:pPr>
              <w:rPr>
                <w:rFonts w:ascii="仿宋" w:hAnsi="仿宋" w:eastAsia="仿宋" w:cs="仿宋"/>
                <w:bCs/>
                <w:color w:val="000000"/>
                <w:szCs w:val="21"/>
              </w:rPr>
            </w:pPr>
            <w:r>
              <w:rPr>
                <w:rFonts w:hint="eastAsia" w:ascii="仿宋" w:hAnsi="仿宋" w:eastAsia="仿宋" w:cs="仿宋"/>
                <w:bCs/>
                <w:color w:val="000000"/>
                <w:szCs w:val="21"/>
              </w:rPr>
              <w:t>1.出让人：</w:t>
            </w:r>
          </w:p>
          <w:p>
            <w:pPr>
              <w:rPr>
                <w:rFonts w:ascii="仿宋" w:hAnsi="仿宋" w:eastAsia="仿宋" w:cs="仿宋"/>
                <w:bCs/>
                <w:color w:val="000000"/>
                <w:szCs w:val="21"/>
              </w:rPr>
            </w:pPr>
            <w:r>
              <w:rPr>
                <w:rFonts w:hint="eastAsia" w:ascii="仿宋" w:hAnsi="仿宋" w:eastAsia="仿宋" w:cs="仿宋"/>
                <w:bCs/>
                <w:color w:val="000000"/>
                <w:szCs w:val="21"/>
              </w:rPr>
              <w:t>2.受让人：</w:t>
            </w:r>
          </w:p>
        </w:tc>
        <w:tc>
          <w:tcPr>
            <w:tcW w:w="3220" w:type="dxa"/>
            <w:vAlign w:val="center"/>
          </w:tcPr>
          <w:p>
            <w:pPr>
              <w:widowControl w:val="0"/>
              <w:wordWrap/>
              <w:adjustRightInd/>
              <w:snapToGrid/>
              <w:spacing w:before="0" w:after="160" w:line="400" w:lineRule="exact"/>
              <w:ind w:left="0" w:leftChars="0" w:right="0" w:firstLine="0" w:firstLineChars="0"/>
              <w:jc w:val="both"/>
              <w:textAlignment w:val="auto"/>
              <w:outlineLvl w:val="9"/>
              <w:rPr>
                <w:rFonts w:ascii="仿宋" w:hAnsi="仿宋" w:eastAsia="仿宋" w:cs="仿宋"/>
                <w:bCs/>
                <w:color w:val="000000"/>
                <w:szCs w:val="21"/>
              </w:rPr>
            </w:pPr>
            <w:r>
              <w:rPr>
                <w:rFonts w:hint="eastAsia" w:ascii="仿宋" w:hAnsi="仿宋" w:eastAsia="仿宋" w:cs="仿宋"/>
                <w:bCs/>
                <w:color w:val="000000"/>
                <w:szCs w:val="21"/>
              </w:rPr>
              <w:t>1.监管实施部门：</w:t>
            </w:r>
          </w:p>
          <w:p>
            <w:pPr>
              <w:widowControl w:val="0"/>
              <w:wordWrap/>
              <w:adjustRightInd/>
              <w:snapToGrid/>
              <w:spacing w:before="0" w:after="160" w:line="400" w:lineRule="exact"/>
              <w:ind w:left="0" w:leftChars="0" w:right="0" w:firstLine="0" w:firstLineChars="0"/>
              <w:jc w:val="both"/>
              <w:textAlignment w:val="auto"/>
              <w:outlineLvl w:val="9"/>
              <w:rPr>
                <w:rFonts w:ascii="仿宋" w:hAnsi="仿宋" w:eastAsia="仿宋" w:cs="仿宋"/>
                <w:bCs/>
                <w:color w:val="000000"/>
                <w:szCs w:val="21"/>
              </w:rPr>
            </w:pPr>
            <w:r>
              <w:rPr>
                <w:rFonts w:hint="eastAsia" w:ascii="仿宋" w:hAnsi="仿宋" w:eastAsia="仿宋" w:cs="仿宋"/>
                <w:bCs/>
                <w:color w:val="000000"/>
                <w:szCs w:val="21"/>
              </w:rPr>
              <w:t>2.监管时点：</w:t>
            </w:r>
          </w:p>
          <w:p>
            <w:pPr>
              <w:widowControl w:val="0"/>
              <w:wordWrap/>
              <w:adjustRightInd/>
              <w:snapToGrid/>
              <w:spacing w:before="0" w:after="160" w:line="400" w:lineRule="exact"/>
              <w:ind w:left="0" w:leftChars="0" w:right="0" w:firstLine="0" w:firstLineChars="0"/>
              <w:jc w:val="both"/>
              <w:textAlignment w:val="auto"/>
              <w:outlineLvl w:val="9"/>
              <w:rPr>
                <w:rFonts w:ascii="仿宋" w:hAnsi="仿宋" w:eastAsia="仿宋" w:cs="仿宋"/>
                <w:bCs/>
                <w:color w:val="000000"/>
                <w:szCs w:val="21"/>
              </w:rPr>
            </w:pPr>
            <w:r>
              <w:rPr>
                <w:rFonts w:hint="eastAsia" w:ascii="仿宋" w:hAnsi="仿宋" w:eastAsia="仿宋" w:cs="仿宋"/>
                <w:bCs/>
                <w:color w:val="000000"/>
                <w:szCs w:val="21"/>
              </w:rPr>
              <w:t>3.监管方案：</w:t>
            </w:r>
          </w:p>
          <w:p>
            <w:pPr>
              <w:widowControl w:val="0"/>
              <w:wordWrap/>
              <w:adjustRightInd/>
              <w:snapToGrid/>
              <w:spacing w:before="0" w:after="160" w:line="400" w:lineRule="exact"/>
              <w:ind w:left="0" w:leftChars="0" w:right="0" w:firstLine="0" w:firstLineChars="0"/>
              <w:jc w:val="both"/>
              <w:textAlignment w:val="auto"/>
              <w:outlineLvl w:val="9"/>
              <w:rPr>
                <w:rFonts w:ascii="仿宋" w:hAnsi="仿宋" w:eastAsia="仿宋" w:cs="仿宋"/>
                <w:bCs/>
                <w:color w:val="000000"/>
                <w:szCs w:val="21"/>
              </w:rPr>
            </w:pPr>
            <w:r>
              <w:rPr>
                <w:rFonts w:hint="eastAsia" w:ascii="仿宋" w:hAnsi="仿宋" w:eastAsia="仿宋" w:cs="仿宋"/>
                <w:bCs/>
                <w:color w:val="000000"/>
                <w:szCs w:val="21"/>
              </w:rPr>
              <w:t>（1）监管事项认定及违约处置：</w:t>
            </w:r>
          </w:p>
          <w:p>
            <w:pPr>
              <w:widowControl w:val="0"/>
              <w:wordWrap/>
              <w:adjustRightInd/>
              <w:snapToGrid/>
              <w:spacing w:before="0" w:after="160" w:line="400" w:lineRule="exact"/>
              <w:ind w:left="0" w:leftChars="0" w:right="0" w:firstLine="0" w:firstLineChars="0"/>
              <w:jc w:val="both"/>
              <w:textAlignment w:val="auto"/>
              <w:outlineLvl w:val="9"/>
              <w:rPr>
                <w:rFonts w:ascii="仿宋" w:hAnsi="仿宋" w:eastAsia="仿宋" w:cs="仿宋"/>
                <w:bCs/>
                <w:color w:val="000000"/>
                <w:szCs w:val="21"/>
              </w:rPr>
            </w:pPr>
            <w:r>
              <w:rPr>
                <w:rFonts w:hint="eastAsia" w:ascii="仿宋" w:hAnsi="仿宋" w:eastAsia="仿宋" w:cs="仿宋"/>
                <w:bCs/>
                <w:color w:val="000000"/>
                <w:szCs w:val="21"/>
              </w:rPr>
              <w:t>（2）违处及整改执行情况：</w:t>
            </w:r>
          </w:p>
          <w:p>
            <w:pPr>
              <w:widowControl w:val="0"/>
              <w:wordWrap/>
              <w:adjustRightInd/>
              <w:snapToGrid/>
              <w:spacing w:before="0" w:after="160" w:line="400" w:lineRule="exact"/>
              <w:ind w:left="0" w:leftChars="0" w:right="0" w:firstLine="0" w:firstLineChars="0"/>
              <w:jc w:val="both"/>
              <w:textAlignment w:val="auto"/>
              <w:outlineLvl w:val="9"/>
              <w:rPr>
                <w:rFonts w:ascii="仿宋" w:hAnsi="仿宋" w:eastAsia="仿宋" w:cs="仿宋"/>
                <w:bCs/>
                <w:color w:val="000000"/>
                <w:szCs w:val="21"/>
              </w:rPr>
            </w:pPr>
            <w:r>
              <w:rPr>
                <w:rFonts w:hint="eastAsia" w:ascii="仿宋" w:hAnsi="仿宋" w:eastAsia="仿宋" w:cs="仿宋"/>
                <w:bCs/>
                <w:color w:val="000000"/>
                <w:szCs w:val="21"/>
              </w:rPr>
              <w:t>（3）监管措施：</w:t>
            </w:r>
          </w:p>
        </w:tc>
        <w:tc>
          <w:tcPr>
            <w:tcW w:w="2500" w:type="dxa"/>
            <w:vAlign w:val="center"/>
          </w:tcPr>
          <w:p>
            <w:pPr>
              <w:rPr>
                <w:rFonts w:ascii="仿宋" w:hAnsi="仿宋" w:eastAsia="仿宋" w:cs="仿宋"/>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5" w:hRule="atLeast"/>
          <w:jc w:val="center"/>
        </w:trPr>
        <w:tc>
          <w:tcPr>
            <w:tcW w:w="631" w:type="dxa"/>
            <w:vMerge w:val="continue"/>
            <w:vAlign w:val="center"/>
          </w:tcPr>
          <w:p>
            <w:pPr>
              <w:jc w:val="center"/>
              <w:rPr>
                <w:rFonts w:ascii="仿宋" w:hAnsi="仿宋" w:eastAsia="仿宋" w:cs="仿宋"/>
                <w:bCs/>
                <w:color w:val="000000"/>
                <w:szCs w:val="21"/>
              </w:rPr>
            </w:pPr>
          </w:p>
        </w:tc>
        <w:tc>
          <w:tcPr>
            <w:tcW w:w="867" w:type="dxa"/>
            <w:vAlign w:val="center"/>
          </w:tcPr>
          <w:p>
            <w:pPr>
              <w:rPr>
                <w:rFonts w:ascii="仿宋" w:hAnsi="仿宋" w:eastAsia="仿宋" w:cs="仿宋"/>
                <w:bCs/>
                <w:color w:val="000000"/>
                <w:szCs w:val="21"/>
              </w:rPr>
            </w:pPr>
          </w:p>
        </w:tc>
        <w:tc>
          <w:tcPr>
            <w:tcW w:w="1842" w:type="dxa"/>
            <w:vAlign w:val="center"/>
          </w:tcPr>
          <w:p>
            <w:pPr>
              <w:rPr>
                <w:rFonts w:ascii="仿宋" w:hAnsi="仿宋" w:eastAsia="仿宋" w:cs="仿宋"/>
                <w:bCs/>
                <w:color w:val="000000"/>
                <w:szCs w:val="21"/>
              </w:rPr>
            </w:pPr>
          </w:p>
        </w:tc>
        <w:tc>
          <w:tcPr>
            <w:tcW w:w="3220" w:type="dxa"/>
            <w:vAlign w:val="center"/>
          </w:tcPr>
          <w:p>
            <w:pPr>
              <w:rPr>
                <w:rFonts w:ascii="仿宋" w:hAnsi="仿宋" w:eastAsia="仿宋" w:cs="仿宋"/>
                <w:bCs/>
                <w:color w:val="000000"/>
                <w:szCs w:val="21"/>
              </w:rPr>
            </w:pPr>
          </w:p>
        </w:tc>
        <w:tc>
          <w:tcPr>
            <w:tcW w:w="2500" w:type="dxa"/>
            <w:vAlign w:val="center"/>
          </w:tcPr>
          <w:p>
            <w:pPr>
              <w:rPr>
                <w:rFonts w:ascii="仿宋" w:hAnsi="仿宋" w:eastAsia="仿宋" w:cs="仿宋"/>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5" w:hRule="atLeast"/>
          <w:jc w:val="center"/>
        </w:trPr>
        <w:tc>
          <w:tcPr>
            <w:tcW w:w="631" w:type="dxa"/>
            <w:vMerge w:val="continue"/>
            <w:vAlign w:val="center"/>
          </w:tcPr>
          <w:p>
            <w:pPr>
              <w:jc w:val="center"/>
              <w:rPr>
                <w:rFonts w:ascii="仿宋" w:hAnsi="仿宋" w:eastAsia="仿宋" w:cs="仿宋"/>
                <w:bCs/>
                <w:color w:val="000000"/>
                <w:szCs w:val="21"/>
              </w:rPr>
            </w:pPr>
          </w:p>
        </w:tc>
        <w:tc>
          <w:tcPr>
            <w:tcW w:w="867" w:type="dxa"/>
            <w:vAlign w:val="center"/>
          </w:tcPr>
          <w:p>
            <w:pPr>
              <w:rPr>
                <w:rFonts w:ascii="仿宋" w:hAnsi="仿宋" w:eastAsia="仿宋" w:cs="仿宋"/>
                <w:bCs/>
                <w:color w:val="000000"/>
                <w:szCs w:val="21"/>
              </w:rPr>
            </w:pPr>
          </w:p>
        </w:tc>
        <w:tc>
          <w:tcPr>
            <w:tcW w:w="1842" w:type="dxa"/>
            <w:vAlign w:val="center"/>
          </w:tcPr>
          <w:p>
            <w:pPr>
              <w:rPr>
                <w:rFonts w:ascii="仿宋" w:hAnsi="仿宋" w:eastAsia="仿宋" w:cs="仿宋"/>
                <w:bCs/>
                <w:color w:val="000000"/>
                <w:szCs w:val="21"/>
              </w:rPr>
            </w:pPr>
          </w:p>
        </w:tc>
        <w:tc>
          <w:tcPr>
            <w:tcW w:w="3220" w:type="dxa"/>
            <w:vAlign w:val="center"/>
          </w:tcPr>
          <w:p>
            <w:pPr>
              <w:rPr>
                <w:rFonts w:ascii="仿宋" w:hAnsi="仿宋" w:eastAsia="仿宋" w:cs="仿宋"/>
                <w:bCs/>
                <w:color w:val="000000"/>
                <w:szCs w:val="21"/>
              </w:rPr>
            </w:pPr>
          </w:p>
        </w:tc>
        <w:tc>
          <w:tcPr>
            <w:tcW w:w="2500" w:type="dxa"/>
            <w:vAlign w:val="center"/>
          </w:tcPr>
          <w:p>
            <w:pPr>
              <w:rPr>
                <w:rFonts w:ascii="仿宋" w:hAnsi="仿宋" w:eastAsia="仿宋" w:cs="仿宋"/>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5" w:hRule="atLeast"/>
          <w:jc w:val="center"/>
        </w:trPr>
        <w:tc>
          <w:tcPr>
            <w:tcW w:w="631" w:type="dxa"/>
            <w:vMerge w:val="continue"/>
            <w:vAlign w:val="center"/>
          </w:tcPr>
          <w:p>
            <w:pPr>
              <w:jc w:val="center"/>
              <w:rPr>
                <w:rFonts w:ascii="仿宋" w:hAnsi="仿宋" w:eastAsia="仿宋" w:cs="仿宋"/>
                <w:bCs/>
                <w:color w:val="000000"/>
                <w:szCs w:val="21"/>
              </w:rPr>
            </w:pPr>
          </w:p>
        </w:tc>
        <w:tc>
          <w:tcPr>
            <w:tcW w:w="867" w:type="dxa"/>
            <w:vAlign w:val="center"/>
          </w:tcPr>
          <w:p>
            <w:pPr>
              <w:rPr>
                <w:rFonts w:ascii="仿宋" w:hAnsi="仿宋" w:eastAsia="仿宋" w:cs="仿宋"/>
                <w:bCs/>
                <w:color w:val="000000"/>
                <w:szCs w:val="21"/>
              </w:rPr>
            </w:pPr>
          </w:p>
        </w:tc>
        <w:tc>
          <w:tcPr>
            <w:tcW w:w="1842" w:type="dxa"/>
            <w:vAlign w:val="center"/>
          </w:tcPr>
          <w:p>
            <w:pPr>
              <w:rPr>
                <w:rFonts w:ascii="仿宋" w:hAnsi="仿宋" w:eastAsia="仿宋" w:cs="仿宋"/>
                <w:bCs/>
                <w:color w:val="000000"/>
                <w:szCs w:val="21"/>
              </w:rPr>
            </w:pPr>
          </w:p>
        </w:tc>
        <w:tc>
          <w:tcPr>
            <w:tcW w:w="3220" w:type="dxa"/>
            <w:vAlign w:val="center"/>
          </w:tcPr>
          <w:p>
            <w:pPr>
              <w:rPr>
                <w:rFonts w:ascii="仿宋" w:hAnsi="仿宋" w:eastAsia="仿宋" w:cs="仿宋"/>
                <w:bCs/>
                <w:color w:val="000000"/>
                <w:szCs w:val="21"/>
              </w:rPr>
            </w:pPr>
          </w:p>
        </w:tc>
        <w:tc>
          <w:tcPr>
            <w:tcW w:w="2500" w:type="dxa"/>
            <w:vAlign w:val="center"/>
          </w:tcPr>
          <w:p>
            <w:pPr>
              <w:rPr>
                <w:rFonts w:ascii="仿宋" w:hAnsi="仿宋" w:eastAsia="仿宋" w:cs="仿宋"/>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5" w:hRule="atLeast"/>
          <w:jc w:val="center"/>
        </w:trPr>
        <w:tc>
          <w:tcPr>
            <w:tcW w:w="631" w:type="dxa"/>
            <w:vAlign w:val="center"/>
          </w:tcPr>
          <w:p>
            <w:pPr>
              <w:widowControl w:val="0"/>
              <w:wordWrap/>
              <w:adjustRightInd/>
              <w:snapToGrid/>
              <w:spacing w:before="0" w:after="160" w:line="340" w:lineRule="exact"/>
              <w:ind w:left="0" w:leftChars="0" w:right="0" w:firstLine="0" w:firstLineChars="0"/>
              <w:jc w:val="center"/>
              <w:textAlignment w:val="auto"/>
              <w:outlineLvl w:val="9"/>
              <w:rPr>
                <w:rFonts w:ascii="仿宋" w:hAnsi="仿宋" w:eastAsia="仿宋" w:cs="仿宋"/>
                <w:bCs/>
                <w:color w:val="000000"/>
                <w:szCs w:val="21"/>
              </w:rPr>
            </w:pPr>
            <w:r>
              <w:rPr>
                <w:rFonts w:hint="eastAsia" w:ascii="仿宋" w:hAnsi="仿宋" w:eastAsia="仿宋" w:cs="仿宋"/>
                <w:bCs/>
                <w:color w:val="000000"/>
                <w:szCs w:val="21"/>
              </w:rPr>
              <w:t>其他</w:t>
            </w:r>
          </w:p>
        </w:tc>
        <w:tc>
          <w:tcPr>
            <w:tcW w:w="867" w:type="dxa"/>
            <w:vAlign w:val="center"/>
          </w:tcPr>
          <w:p>
            <w:pPr>
              <w:rPr>
                <w:rFonts w:ascii="仿宋" w:hAnsi="仿宋" w:eastAsia="仿宋" w:cs="仿宋"/>
                <w:bCs/>
                <w:color w:val="000000"/>
                <w:szCs w:val="21"/>
              </w:rPr>
            </w:pPr>
          </w:p>
        </w:tc>
        <w:tc>
          <w:tcPr>
            <w:tcW w:w="1842" w:type="dxa"/>
            <w:vAlign w:val="center"/>
          </w:tcPr>
          <w:p>
            <w:pPr>
              <w:rPr>
                <w:rFonts w:ascii="仿宋" w:hAnsi="仿宋" w:eastAsia="仿宋" w:cs="仿宋"/>
                <w:bCs/>
                <w:color w:val="000000"/>
                <w:szCs w:val="21"/>
              </w:rPr>
            </w:pPr>
          </w:p>
        </w:tc>
        <w:tc>
          <w:tcPr>
            <w:tcW w:w="3220" w:type="dxa"/>
            <w:vAlign w:val="center"/>
          </w:tcPr>
          <w:p>
            <w:pPr>
              <w:rPr>
                <w:rFonts w:ascii="仿宋" w:hAnsi="仿宋" w:eastAsia="仿宋" w:cs="仿宋"/>
                <w:bCs/>
                <w:color w:val="000000"/>
                <w:szCs w:val="21"/>
              </w:rPr>
            </w:pPr>
          </w:p>
        </w:tc>
        <w:tc>
          <w:tcPr>
            <w:tcW w:w="2500" w:type="dxa"/>
            <w:vAlign w:val="center"/>
          </w:tcPr>
          <w:p>
            <w:pPr>
              <w:rPr>
                <w:rFonts w:ascii="仿宋" w:hAnsi="仿宋" w:eastAsia="仿宋" w:cs="仿宋"/>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0" w:hRule="atLeast"/>
          <w:jc w:val="center"/>
        </w:trPr>
        <w:tc>
          <w:tcPr>
            <w:tcW w:w="9060" w:type="dxa"/>
            <w:gridSpan w:val="5"/>
            <w:vAlign w:val="center"/>
          </w:tcPr>
          <w:p>
            <w:pPr>
              <w:widowControl w:val="0"/>
              <w:wordWrap/>
              <w:adjustRightInd/>
              <w:snapToGrid/>
              <w:spacing w:before="0" w:after="160" w:line="400" w:lineRule="exact"/>
              <w:ind w:left="0" w:leftChars="0" w:right="0" w:firstLine="0" w:firstLineChars="0"/>
              <w:jc w:val="both"/>
              <w:textAlignment w:val="auto"/>
              <w:outlineLvl w:val="9"/>
              <w:rPr>
                <w:rFonts w:ascii="楷体" w:hAnsi="楷体" w:eastAsia="楷体" w:cs="楷体"/>
                <w:bCs/>
                <w:color w:val="000000"/>
                <w:szCs w:val="21"/>
              </w:rPr>
            </w:pPr>
            <w:r>
              <w:rPr>
                <w:rFonts w:hint="eastAsia" w:ascii="楷体" w:hAnsi="楷体" w:eastAsia="楷体" w:cs="楷体"/>
                <w:bCs/>
                <w:color w:val="000000"/>
                <w:szCs w:val="21"/>
              </w:rPr>
              <w:t>备注：本监管清单供参考。未尽事宜，可由本协议三方当事人约</w:t>
            </w:r>
          </w:p>
          <w:p>
            <w:pPr>
              <w:widowControl w:val="0"/>
              <w:wordWrap/>
              <w:adjustRightInd/>
              <w:snapToGrid/>
              <w:spacing w:before="0" w:after="160" w:line="400" w:lineRule="exact"/>
              <w:ind w:left="0" w:leftChars="0" w:right="0" w:firstLine="0" w:firstLineChars="0"/>
              <w:jc w:val="both"/>
              <w:textAlignment w:val="auto"/>
              <w:outlineLvl w:val="9"/>
              <w:rPr>
                <w:bCs/>
                <w:color w:val="000000"/>
                <w:szCs w:val="21"/>
              </w:rPr>
            </w:pPr>
            <w:r>
              <w:rPr>
                <w:rFonts w:hint="eastAsia" w:ascii="楷体" w:hAnsi="楷体" w:eastAsia="楷体" w:cs="楷体"/>
                <w:bCs/>
                <w:color w:val="000000"/>
                <w:szCs w:val="21"/>
              </w:rPr>
              <w:t xml:space="preserve">      定同意后新增至监管协议附件，且具有同等法律效力。 </w:t>
            </w:r>
          </w:p>
        </w:tc>
      </w:tr>
    </w:tbl>
    <w:tbl>
      <w:tblPr>
        <w:tblpPr w:leftFromText="181" w:rightFromText="181" w:vertAnchor="page" w:horzAnchor="page" w:tblpX="1614" w:tblpY="13862"/>
        <w:tblOverlap w:val="never"/>
        <w:tblW w:w="900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03" w:hRule="atLeast"/>
        </w:trPr>
        <w:tc>
          <w:tcPr>
            <w:tcW w:w="9000" w:type="dxa"/>
            <w:tcBorders>
              <w:tl2br w:val="nil"/>
              <w:tr2bl w:val="nil"/>
            </w:tcBorders>
            <w:vAlign w:val="center"/>
          </w:tcPr>
          <w:p>
            <w:pPr>
              <w:widowControl w:val="0"/>
              <w:wordWrap/>
              <w:autoSpaceDE w:val="0"/>
              <w:autoSpaceDN w:val="0"/>
              <w:adjustRightInd/>
              <w:snapToGrid/>
              <w:spacing w:before="0" w:after="0" w:line="400" w:lineRule="exact"/>
              <w:ind w:left="0" w:leftChars="0" w:right="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抄送</w:t>
            </w:r>
            <w:r>
              <w:rPr>
                <w:rFonts w:hint="eastAsia" w:ascii="仿宋_GB2312" w:hAnsi="仿宋_GB2312" w:cs="仿宋_GB2312"/>
                <w:spacing w:val="-57"/>
                <w:sz w:val="28"/>
                <w:szCs w:val="28"/>
              </w:rPr>
              <w:t>：</w:t>
            </w:r>
            <w:r>
              <w:rPr>
                <w:rFonts w:hint="eastAsia" w:ascii="仿宋_GB2312" w:hAnsi="仿宋_GB2312" w:cs="仿宋_GB2312"/>
                <w:spacing w:val="-9"/>
                <w:sz w:val="28"/>
                <w:szCs w:val="28"/>
              </w:rPr>
              <w:t>市自然资源局，</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43" w:hRule="atLeast"/>
        </w:trPr>
        <w:tc>
          <w:tcPr>
            <w:tcW w:w="9000" w:type="dxa"/>
            <w:tcBorders>
              <w:tl2br w:val="nil"/>
              <w:tr2bl w:val="nil"/>
            </w:tcBorders>
            <w:vAlign w:val="center"/>
          </w:tcPr>
          <w:p>
            <w:pPr>
              <w:widowControl w:val="0"/>
              <w:wordWrap/>
              <w:autoSpaceDE w:val="0"/>
              <w:autoSpaceDN w:val="0"/>
              <w:adjustRightInd/>
              <w:snapToGrid/>
              <w:spacing w:before="0" w:after="0" w:line="400" w:lineRule="exact"/>
              <w:ind w:left="0" w:leftChars="0" w:right="0" w:firstLine="0" w:firstLineChars="0"/>
              <w:jc w:val="both"/>
              <w:textAlignment w:val="auto"/>
              <w:outlineLvl w:val="9"/>
              <w:rPr>
                <w:rFonts w:hint="eastAsia" w:ascii="仿宋_GB2312" w:hAnsi="仿宋"/>
                <w:sz w:val="28"/>
                <w:szCs w:val="28"/>
              </w:rPr>
            </w:pP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 xml:space="preserve">莆田市荔城区人民政府办公室    </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 xml:space="preserve">    2024年</w:t>
            </w:r>
            <w:r>
              <w:rPr>
                <w:rFonts w:hint="eastAsia" w:ascii="仿宋_GB2312" w:hAnsi="仿宋_GB2312" w:cs="仿宋_GB2312"/>
                <w:sz w:val="28"/>
                <w:szCs w:val="28"/>
                <w:lang w:val="en-US" w:eastAsia="zh-CN"/>
              </w:rPr>
              <w:t>4</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10</w:t>
            </w:r>
            <w:r>
              <w:rPr>
                <w:rFonts w:hint="eastAsia" w:ascii="仿宋_GB2312" w:hAnsi="仿宋_GB2312" w:cs="仿宋_GB2312"/>
                <w:sz w:val="28"/>
                <w:szCs w:val="28"/>
              </w:rPr>
              <w:t>日印发</w:t>
            </w:r>
          </w:p>
        </w:tc>
      </w:tr>
    </w:tbl>
    <w:p>
      <w:pPr>
        <w:pStyle w:val="2"/>
        <w:widowControl w:val="0"/>
        <w:wordWrap/>
        <w:adjustRightInd/>
        <w:snapToGrid/>
        <w:spacing w:before="0" w:after="160" w:line="20" w:lineRule="exact"/>
        <w:ind w:left="0" w:leftChars="0" w:right="0" w:firstLine="420" w:firstLineChars="200"/>
        <w:jc w:val="both"/>
        <w:textAlignment w:val="auto"/>
        <w:outlineLvl w:val="9"/>
      </w:pPr>
    </w:p>
    <w:sectPr>
      <w:pgSz w:w="11906" w:h="16838"/>
      <w:pgMar w:top="1871" w:right="1587" w:bottom="1871" w:left="1587" w:header="851" w:footer="1417" w:gutter="0"/>
      <w:pgBorders>
        <w:top w:val="none" w:color="auto" w:sz="0" w:space="0"/>
        <w:left w:val="none" w:color="auto" w:sz="0" w:space="0"/>
        <w:bottom w:val="none" w:color="auto" w:sz="0" w:space="0"/>
        <w:right w:val="none" w:color="auto" w:sz="0" w:space="0"/>
      </w:pgBorders>
      <w:cols w:space="720" w:num="1"/>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2FF" w:usb1="420024FF" w:usb2="00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Pr>
    <w:r>
      <w:rPr>
        <w:rFonts w:ascii="Calibri" w:hAnsi="Calibri" w:eastAsia="仿宋_GB2312" w:cs="Times New Roman"/>
        <w:sz w:val="18"/>
        <w:szCs w:val="18"/>
        <w:lang w:val="en-US" w:eastAsia="zh-CN" w:bidi="ar-SA"/>
      </w:rPr>
      <w:pict>
        <v:shape id="文本框 50" o:spid="_x0000_s1025" type="#_x0000_t202" style="position:absolute;left:0;margin-top:0pt;height:12.05pt;width:10.55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spacing w:after="0" w:line="240" w:lineRule="auto"/>
                  <w:ind w:left="640" w:leftChars="200" w:right="640" w:right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Pr>
    <w:r>
      <w:rPr>
        <w:rFonts w:ascii="Calibri" w:hAnsi="Calibri" w:eastAsia="仿宋_GB2312" w:cs="Times New Roman"/>
        <w:sz w:val="18"/>
        <w:szCs w:val="18"/>
        <w:lang w:val="en-US" w:eastAsia="zh-CN" w:bidi="ar-SA"/>
      </w:rPr>
      <w:pict>
        <v:shape id="文本框 47" o:spid="_x0000_s1026" type="#_x0000_t202" style="position:absolute;left:0;margin-top:0pt;height:22.4pt;width:10.55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3"/>
                  <w:widowControl w:val="0"/>
                  <w:wordWrap/>
                  <w:adjustRightInd/>
                  <w:snapToGrid w:val="0"/>
                  <w:spacing w:before="0" w:after="160" w:line="240" w:lineRule="auto"/>
                  <w:ind w:left="640" w:leftChars="200" w:right="640" w:rightChars="200" w:firstLine="0" w:firstLine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Style w:val="20"/>
                    <w:rFonts w:hint="eastAsia" w:ascii="仿宋" w:hAnsi="仿宋" w:eastAsia="仿宋" w:cs="仿宋"/>
                    <w:sz w:val="28"/>
                    <w:szCs w:val="28"/>
                  </w:rPr>
                  <w:instrText xml:space="preserve">PAGE  </w:instrText>
                </w:r>
                <w:r>
                  <w:rPr>
                    <w:rFonts w:hint="eastAsia" w:ascii="仿宋" w:hAnsi="仿宋" w:eastAsia="仿宋" w:cs="仿宋"/>
                    <w:sz w:val="28"/>
                    <w:szCs w:val="28"/>
                  </w:rPr>
                  <w:fldChar w:fldCharType="separate"/>
                </w:r>
                <w:r>
                  <w:rPr>
                    <w:rStyle w:val="20"/>
                    <w:rFonts w:hint="eastAsia" w:ascii="仿宋" w:hAnsi="仿宋" w:eastAsia="仿宋" w:cs="仿宋"/>
                    <w:sz w:val="28"/>
                    <w:szCs w:val="28"/>
                  </w:rPr>
                  <w:t>44</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framePr w:wrap="around" w:hAnchor="margin" w:vAnchor="text" w:xAlign="center" w:y="2"/>
      <w:rPr>
        <w:rStyle w:val="20"/>
      </w:rPr>
    </w:pPr>
    <w:r>
      <w:fldChar w:fldCharType="begin"/>
    </w:r>
    <w:r>
      <w:rPr>
        <w:rStyle w:val="20"/>
      </w:rPr>
      <w:instrText xml:space="preserve">PAGE  </w:instrText>
    </w:r>
    <w:r>
      <w:fldChar w:fldCharType="separate"/>
    </w:r>
    <w:r>
      <w:rPr>
        <w:rStyle w:val="20"/>
      </w:rPr>
      <w:t>11</w:t>
    </w:r>
    <w: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Pr>
    <w:r>
      <w:rPr>
        <w:rFonts w:ascii="Calibri" w:hAnsi="Calibri" w:eastAsia="仿宋_GB2312" w:cs="Times New Roman"/>
        <w:sz w:val="18"/>
        <w:szCs w:val="18"/>
        <w:lang w:val="en-US" w:eastAsia="zh-CN" w:bidi="ar-SA"/>
      </w:rPr>
      <w:pict>
        <v:shape id="文本框54" o:spid="_x0000_s1027" type="#_x0000_t202" style="position:absolute;left:0;margin-top:0pt;height:144pt;width:144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spacing w:after="0" w:line="240" w:lineRule="auto"/>
                  <w:ind w:left="640" w:leftChars="200" w:right="640" w:right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t>47</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206742171">
    <w:nsid w:val="FABDCA9B"/>
    <w:multiLevelType w:val="singleLevel"/>
    <w:tmpl w:val="FABDCA9B"/>
    <w:lvl w:ilvl="0" w:tentative="1">
      <w:start w:val="1"/>
      <w:numFmt w:val="chineseCounting"/>
      <w:suff w:val="nothing"/>
      <w:lvlText w:val="（%1）"/>
      <w:lvlJc w:val="left"/>
      <w:rPr>
        <w:rFonts w:hint="eastAsia"/>
      </w:rPr>
    </w:lvl>
  </w:abstractNum>
  <w:abstractNum w:abstractNumId="2951160886">
    <w:nsid w:val="AFE72436"/>
    <w:multiLevelType w:val="singleLevel"/>
    <w:tmpl w:val="AFE72436"/>
    <w:lvl w:ilvl="0" w:tentative="1">
      <w:start w:val="1"/>
      <w:numFmt w:val="chineseCounting"/>
      <w:suff w:val="nothing"/>
      <w:lvlText w:val="（%1）"/>
      <w:lvlJc w:val="left"/>
      <w:rPr>
        <w:rFonts w:hint="eastAsia"/>
      </w:rPr>
    </w:lvl>
  </w:abstractNum>
  <w:abstractNum w:abstractNumId="534470826">
    <w:nsid w:val="1FDB60AA"/>
    <w:multiLevelType w:val="singleLevel"/>
    <w:tmpl w:val="1FDB60AA"/>
    <w:lvl w:ilvl="0" w:tentative="1">
      <w:start w:val="1"/>
      <w:numFmt w:val="chineseCounting"/>
      <w:suff w:val="nothing"/>
      <w:lvlText w:val="（%1）"/>
      <w:lvlJc w:val="left"/>
      <w:rPr>
        <w:rFonts w:hint="eastAsia"/>
      </w:rPr>
    </w:lvl>
  </w:abstractNum>
  <w:abstractNum w:abstractNumId="4260855016">
    <w:nsid w:val="FDF77CE8"/>
    <w:multiLevelType w:val="singleLevel"/>
    <w:tmpl w:val="FDF77CE8"/>
    <w:lvl w:ilvl="0" w:tentative="1">
      <w:start w:val="7"/>
      <w:numFmt w:val="chineseCounting"/>
      <w:suff w:val="nothing"/>
      <w:lvlText w:val="（%1）"/>
      <w:lvlJc w:val="left"/>
      <w:rPr>
        <w:rFonts w:hint="eastAsia"/>
      </w:rPr>
    </w:lvl>
  </w:abstractNum>
  <w:abstractNum w:abstractNumId="4224614631">
    <w:nsid w:val="FBCE80E7"/>
    <w:multiLevelType w:val="singleLevel"/>
    <w:tmpl w:val="FBCE80E7"/>
    <w:lvl w:ilvl="0" w:tentative="1">
      <w:start w:val="1"/>
      <w:numFmt w:val="chineseCounting"/>
      <w:suff w:val="nothing"/>
      <w:lvlText w:val="%1、"/>
      <w:lvlJc w:val="left"/>
      <w:rPr>
        <w:rFonts w:hint="eastAsia"/>
      </w:rPr>
    </w:lvl>
  </w:abstractNum>
  <w:abstractNum w:abstractNumId="4219114666">
    <w:nsid w:val="FB7A94AA"/>
    <w:multiLevelType w:val="singleLevel"/>
    <w:tmpl w:val="FB7A94AA"/>
    <w:lvl w:ilvl="0" w:tentative="1">
      <w:start w:val="1"/>
      <w:numFmt w:val="chineseCounting"/>
      <w:suff w:val="nothing"/>
      <w:lvlText w:val="（%1）"/>
      <w:lvlJc w:val="left"/>
      <w:rPr>
        <w:rFonts w:hint="eastAsia"/>
      </w:rPr>
    </w:lvl>
  </w:abstractNum>
  <w:num w:numId="1">
    <w:abstractNumId w:val="4206742171"/>
  </w:num>
  <w:num w:numId="2">
    <w:abstractNumId w:val="2951160886"/>
  </w:num>
  <w:num w:numId="3">
    <w:abstractNumId w:val="4219114666"/>
  </w:num>
  <w:num w:numId="4">
    <w:abstractNumId w:val="534470826"/>
  </w:num>
  <w:num w:numId="5">
    <w:abstractNumId w:val="4224614631"/>
  </w:num>
  <w:num w:numId="6">
    <w:abstractNumId w:val="42608550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next w:val="2"/>
    <w:qFormat/>
    <w:uiPriority w:val="0"/>
    <w:pPr>
      <w:widowControl w:val="0"/>
      <w:spacing w:after="160" w:line="278" w:lineRule="auto"/>
      <w:jc w:val="both"/>
    </w:pPr>
    <w:rPr>
      <w:rFonts w:ascii="Calibri" w:hAnsi="Calibri" w:eastAsia="仿宋_GB2312" w:cs="Times New Roman"/>
      <w:sz w:val="32"/>
      <w:szCs w:val="24"/>
      <w:lang w:val="en-US" w:eastAsia="zh-CN" w:bidi="ar-SA"/>
    </w:rPr>
  </w:style>
  <w:style w:type="paragraph" w:styleId="3">
    <w:name w:val="heading 1"/>
    <w:basedOn w:val="1"/>
    <w:next w:val="1"/>
    <w:link w:val="27"/>
    <w:qFormat/>
    <w:uiPriority w:val="9"/>
    <w:pPr>
      <w:keepNext/>
      <w:keepLines/>
      <w:spacing w:before="480" w:after="80"/>
      <w:outlineLvl w:val="0"/>
    </w:pPr>
    <w:rPr>
      <w:rFonts w:ascii="等线 Light" w:hAnsi="等线 Light" w:eastAsia="等线 Light" w:cs="黑体"/>
      <w:color w:val="0F4760"/>
      <w:kern w:val="2"/>
      <w:sz w:val="48"/>
      <w:szCs w:val="48"/>
    </w:rPr>
  </w:style>
  <w:style w:type="paragraph" w:styleId="4">
    <w:name w:val="heading 2"/>
    <w:basedOn w:val="1"/>
    <w:next w:val="1"/>
    <w:link w:val="28"/>
    <w:semiHidden/>
    <w:unhideWhenUsed/>
    <w:qFormat/>
    <w:uiPriority w:val="9"/>
    <w:pPr>
      <w:keepNext/>
      <w:keepLines/>
      <w:spacing w:before="160" w:after="80"/>
      <w:outlineLvl w:val="1"/>
    </w:pPr>
    <w:rPr>
      <w:rFonts w:ascii="等线 Light" w:hAnsi="等线 Light" w:eastAsia="等线 Light" w:cs="黑体"/>
      <w:color w:val="0F4760"/>
      <w:kern w:val="2"/>
      <w:sz w:val="40"/>
      <w:szCs w:val="40"/>
    </w:rPr>
  </w:style>
  <w:style w:type="paragraph" w:styleId="5">
    <w:name w:val="heading 3"/>
    <w:basedOn w:val="1"/>
    <w:next w:val="1"/>
    <w:link w:val="29"/>
    <w:semiHidden/>
    <w:unhideWhenUsed/>
    <w:qFormat/>
    <w:uiPriority w:val="9"/>
    <w:pPr>
      <w:keepNext/>
      <w:keepLines/>
      <w:spacing w:before="160" w:after="80"/>
      <w:outlineLvl w:val="2"/>
    </w:pPr>
    <w:rPr>
      <w:rFonts w:ascii="等线 Light" w:hAnsi="等线 Light" w:eastAsia="等线 Light" w:cs="黑体"/>
      <w:color w:val="0F4760"/>
      <w:kern w:val="2"/>
      <w:szCs w:val="32"/>
    </w:rPr>
  </w:style>
  <w:style w:type="paragraph" w:styleId="6">
    <w:name w:val="heading 4"/>
    <w:basedOn w:val="1"/>
    <w:next w:val="1"/>
    <w:link w:val="30"/>
    <w:unhideWhenUsed/>
    <w:qFormat/>
    <w:uiPriority w:val="9"/>
    <w:pPr>
      <w:keepNext/>
      <w:keepLines/>
      <w:spacing w:before="80" w:after="40"/>
      <w:outlineLvl w:val="3"/>
    </w:pPr>
    <w:rPr>
      <w:rFonts w:ascii="等线" w:hAnsi="等线" w:eastAsia="等线" w:cs="黑体"/>
      <w:color w:val="0F4760"/>
      <w:kern w:val="2"/>
      <w:sz w:val="28"/>
      <w:szCs w:val="28"/>
    </w:rPr>
  </w:style>
  <w:style w:type="paragraph" w:styleId="7">
    <w:name w:val="heading 5"/>
    <w:basedOn w:val="1"/>
    <w:next w:val="1"/>
    <w:link w:val="31"/>
    <w:semiHidden/>
    <w:unhideWhenUsed/>
    <w:qFormat/>
    <w:uiPriority w:val="9"/>
    <w:pPr>
      <w:keepNext/>
      <w:keepLines/>
      <w:spacing w:before="80" w:after="40"/>
      <w:outlineLvl w:val="4"/>
    </w:pPr>
    <w:rPr>
      <w:rFonts w:ascii="等线" w:hAnsi="等线" w:eastAsia="等线" w:cs="黑体"/>
      <w:color w:val="0F4760"/>
      <w:kern w:val="2"/>
      <w:sz w:val="24"/>
    </w:rPr>
  </w:style>
  <w:style w:type="paragraph" w:styleId="8">
    <w:name w:val="heading 6"/>
    <w:basedOn w:val="1"/>
    <w:next w:val="1"/>
    <w:link w:val="32"/>
    <w:semiHidden/>
    <w:unhideWhenUsed/>
    <w:qFormat/>
    <w:uiPriority w:val="9"/>
    <w:pPr>
      <w:keepNext/>
      <w:keepLines/>
      <w:spacing w:before="40"/>
      <w:outlineLvl w:val="5"/>
    </w:pPr>
    <w:rPr>
      <w:rFonts w:ascii="等线" w:hAnsi="等线" w:eastAsia="等线" w:cs="黑体"/>
      <w:b/>
      <w:bCs/>
      <w:color w:val="0F4760"/>
      <w:kern w:val="2"/>
      <w:sz w:val="21"/>
      <w:szCs w:val="22"/>
    </w:rPr>
  </w:style>
  <w:style w:type="paragraph" w:styleId="9">
    <w:name w:val="heading 7"/>
    <w:basedOn w:val="1"/>
    <w:next w:val="1"/>
    <w:link w:val="33"/>
    <w:semiHidden/>
    <w:unhideWhenUsed/>
    <w:qFormat/>
    <w:uiPriority w:val="9"/>
    <w:pPr>
      <w:keepNext/>
      <w:keepLines/>
      <w:spacing w:before="40"/>
      <w:outlineLvl w:val="6"/>
    </w:pPr>
    <w:rPr>
      <w:rFonts w:ascii="等线" w:hAnsi="等线" w:eastAsia="等线" w:cs="黑体"/>
      <w:b/>
      <w:bCs/>
      <w:color w:val="565656"/>
      <w:kern w:val="2"/>
      <w:sz w:val="21"/>
      <w:szCs w:val="22"/>
    </w:rPr>
  </w:style>
  <w:style w:type="paragraph" w:styleId="10">
    <w:name w:val="heading 8"/>
    <w:basedOn w:val="1"/>
    <w:next w:val="1"/>
    <w:link w:val="34"/>
    <w:semiHidden/>
    <w:unhideWhenUsed/>
    <w:qFormat/>
    <w:uiPriority w:val="9"/>
    <w:pPr>
      <w:keepNext/>
      <w:keepLines/>
      <w:outlineLvl w:val="7"/>
    </w:pPr>
    <w:rPr>
      <w:rFonts w:ascii="等线" w:hAnsi="等线" w:eastAsia="等线" w:cs="黑体"/>
      <w:color w:val="565656"/>
      <w:kern w:val="2"/>
      <w:sz w:val="21"/>
      <w:szCs w:val="22"/>
    </w:rPr>
  </w:style>
  <w:style w:type="paragraph" w:styleId="11">
    <w:name w:val="heading 9"/>
    <w:basedOn w:val="1"/>
    <w:next w:val="1"/>
    <w:link w:val="35"/>
    <w:semiHidden/>
    <w:unhideWhenUsed/>
    <w:qFormat/>
    <w:uiPriority w:val="9"/>
    <w:pPr>
      <w:keepNext/>
      <w:keepLines/>
      <w:outlineLvl w:val="8"/>
    </w:pPr>
    <w:rPr>
      <w:rFonts w:ascii="等线" w:hAnsi="等线" w:eastAsia="等线 Light" w:cs="黑体"/>
      <w:color w:val="565656"/>
      <w:kern w:val="2"/>
      <w:sz w:val="21"/>
      <w:szCs w:val="22"/>
    </w:rPr>
  </w:style>
  <w:style w:type="character" w:default="1" w:styleId="18">
    <w:name w:val="Default Paragraph Font"/>
    <w:semiHidden/>
    <w:unhideWhenUsed/>
    <w:qFormat/>
    <w:uiPriority w:val="1"/>
  </w:style>
  <w:style w:type="paragraph" w:customStyle="1" w:styleId="2">
    <w:name w:val="Body Text First Indent 2"/>
    <w:basedOn w:val="1"/>
    <w:qFormat/>
    <w:uiPriority w:val="0"/>
    <w:pPr>
      <w:spacing w:line="360" w:lineRule="auto"/>
      <w:ind w:firstLine="420" w:firstLineChars="200"/>
    </w:pPr>
    <w:rPr>
      <w:rFonts w:eastAsia="宋体"/>
      <w:sz w:val="21"/>
    </w:rPr>
  </w:style>
  <w:style w:type="paragraph" w:styleId="12">
    <w:name w:val="Plain Text"/>
    <w:basedOn w:val="1"/>
    <w:semiHidden/>
    <w:unhideWhenUsed/>
    <w:qFormat/>
    <w:uiPriority w:val="0"/>
    <w:rPr>
      <w:rFonts w:ascii="宋体" w:hAnsi="Courier New" w:cs="宋体"/>
      <w:szCs w:val="32"/>
    </w:rPr>
  </w:style>
  <w:style w:type="paragraph" w:styleId="13">
    <w:name w:val="footer"/>
    <w:basedOn w:val="1"/>
    <w:link w:val="43"/>
    <w:unhideWhenUsed/>
    <w:qFormat/>
    <w:uiPriority w:val="99"/>
    <w:pPr>
      <w:tabs>
        <w:tab w:val="center" w:pos="4153"/>
        <w:tab w:val="right" w:pos="8306"/>
      </w:tabs>
      <w:snapToGrid w:val="0"/>
      <w:jc w:val="left"/>
    </w:pPr>
    <w:rPr>
      <w:sz w:val="18"/>
      <w:szCs w:val="18"/>
    </w:rPr>
  </w:style>
  <w:style w:type="paragraph" w:styleId="14">
    <w:name w:val="header"/>
    <w:basedOn w:val="1"/>
    <w:link w:val="42"/>
    <w:unhideWhenUsed/>
    <w:uiPriority w:val="99"/>
    <w:pPr>
      <w:tabs>
        <w:tab w:val="center" w:pos="4153"/>
        <w:tab w:val="right" w:pos="8306"/>
      </w:tabs>
      <w:snapToGrid w:val="0"/>
      <w:jc w:val="center"/>
    </w:pPr>
    <w:rPr>
      <w:sz w:val="18"/>
      <w:szCs w:val="18"/>
    </w:rPr>
  </w:style>
  <w:style w:type="paragraph" w:styleId="15">
    <w:name w:val="Subtitle"/>
    <w:basedOn w:val="1"/>
    <w:next w:val="1"/>
    <w:link w:val="37"/>
    <w:qFormat/>
    <w:uiPriority w:val="11"/>
    <w:pPr>
      <w:jc w:val="center"/>
    </w:pPr>
    <w:rPr>
      <w:rFonts w:ascii="等线 Light" w:hAnsi="等线 Light" w:eastAsia="等线 Light" w:cs="黑体"/>
      <w:color w:val="565656"/>
      <w:spacing w:val="15"/>
      <w:kern w:val="2"/>
      <w:sz w:val="28"/>
      <w:szCs w:val="28"/>
    </w:rPr>
  </w:style>
  <w:style w:type="paragraph" w:styleId="16">
    <w:name w:val="Normal (Web)"/>
    <w:basedOn w:val="1"/>
    <w:unhideWhenUsed/>
    <w:qFormat/>
    <w:uiPriority w:val="99"/>
    <w:pPr>
      <w:widowControl/>
      <w:jc w:val="left"/>
    </w:pPr>
    <w:rPr>
      <w:rFonts w:ascii="宋体" w:eastAsia="宋体"/>
      <w:sz w:val="24"/>
      <w:szCs w:val="21"/>
    </w:rPr>
  </w:style>
  <w:style w:type="paragraph" w:styleId="17">
    <w:name w:val="Title"/>
    <w:basedOn w:val="1"/>
    <w:next w:val="1"/>
    <w:link w:val="36"/>
    <w:qFormat/>
    <w:uiPriority w:val="10"/>
    <w:pPr>
      <w:spacing w:after="80"/>
      <w:contextualSpacing/>
      <w:jc w:val="center"/>
    </w:pPr>
    <w:rPr>
      <w:rFonts w:ascii="等线 Light" w:hAnsi="等线 Light" w:eastAsia="等线 Light" w:cs="黑体"/>
      <w:spacing w:val="-10"/>
      <w:kern w:val="28"/>
      <w:sz w:val="56"/>
      <w:szCs w:val="56"/>
    </w:rPr>
  </w:style>
  <w:style w:type="character" w:styleId="19">
    <w:name w:val="Strong"/>
    <w:qFormat/>
    <w:uiPriority w:val="22"/>
    <w:rPr>
      <w:b/>
      <w:bCs/>
    </w:rPr>
  </w:style>
  <w:style w:type="character" w:styleId="20">
    <w:name w:val="page number"/>
    <w:semiHidden/>
    <w:unhideWhenUsed/>
    <w:qFormat/>
    <w:uiPriority w:val="0"/>
  </w:style>
  <w:style w:type="paragraph" w:customStyle="1" w:styleId="21">
    <w:name w:val="引用1"/>
    <w:basedOn w:val="1"/>
    <w:next w:val="1"/>
    <w:link w:val="38"/>
    <w:qFormat/>
    <w:uiPriority w:val="29"/>
    <w:pPr>
      <w:spacing w:before="160"/>
      <w:jc w:val="center"/>
    </w:pPr>
    <w:rPr>
      <w:rFonts w:ascii="等线" w:hAnsi="等线" w:eastAsia="等线" w:cs="黑体"/>
      <w:i/>
      <w:iCs/>
      <w:color w:val="3F3F3F"/>
      <w:kern w:val="2"/>
      <w:sz w:val="21"/>
      <w:szCs w:val="22"/>
    </w:rPr>
  </w:style>
  <w:style w:type="paragraph" w:customStyle="1" w:styleId="22">
    <w:name w:val="列表段落1"/>
    <w:basedOn w:val="1"/>
    <w:qFormat/>
    <w:uiPriority w:val="34"/>
    <w:pPr>
      <w:ind w:left="720"/>
      <w:contextualSpacing/>
    </w:pPr>
    <w:rPr>
      <w:rFonts w:ascii="等线" w:hAnsi="等线" w:eastAsia="等线" w:cs="黑体"/>
      <w:kern w:val="2"/>
      <w:sz w:val="21"/>
      <w:szCs w:val="22"/>
    </w:rPr>
  </w:style>
  <w:style w:type="paragraph" w:customStyle="1" w:styleId="23">
    <w:name w:val="明显引用1"/>
    <w:basedOn w:val="1"/>
    <w:next w:val="1"/>
    <w:link w:val="40"/>
    <w:qFormat/>
    <w:uiPriority w:val="30"/>
    <w:pPr>
      <w:pBdr>
        <w:top w:val="single" w:color="0F4761" w:sz="4" w:space="10"/>
        <w:bottom w:val="single" w:color="0F4761" w:sz="4" w:space="10"/>
      </w:pBdr>
      <w:spacing w:before="360" w:after="360"/>
      <w:ind w:left="864" w:right="864"/>
      <w:jc w:val="center"/>
    </w:pPr>
    <w:rPr>
      <w:rFonts w:ascii="等线" w:hAnsi="等线" w:eastAsia="等线" w:cs="黑体"/>
      <w:i/>
      <w:iCs/>
      <w:color w:val="0F4760"/>
      <w:kern w:val="2"/>
      <w:sz w:val="21"/>
      <w:szCs w:val="22"/>
    </w:rPr>
  </w:style>
  <w:style w:type="paragraph" w:customStyle="1" w:styleId="24">
    <w:name w:val="Char"/>
    <w:basedOn w:val="1"/>
    <w:qFormat/>
    <w:uiPriority w:val="0"/>
  </w:style>
  <w:style w:type="paragraph" w:customStyle="1" w:styleId="25">
    <w:name w:val="正文缩进1"/>
    <w:basedOn w:val="1"/>
    <w:qFormat/>
    <w:uiPriority w:val="0"/>
    <w:pPr>
      <w:adjustRightInd w:val="0"/>
      <w:snapToGrid w:val="0"/>
      <w:spacing w:line="360" w:lineRule="auto"/>
      <w:ind w:firstLine="420" w:firstLineChars="200"/>
    </w:pPr>
    <w:rPr>
      <w:rFonts w:eastAsia="仿宋"/>
      <w:sz w:val="28"/>
    </w:rPr>
  </w:style>
  <w:style w:type="paragraph" w:customStyle="1" w:styleId="26">
    <w:name w:val="样式"/>
    <w:qFormat/>
    <w:uiPriority w:val="0"/>
    <w:pPr>
      <w:widowControl w:val="0"/>
      <w:autoSpaceDE w:val="0"/>
      <w:autoSpaceDN w:val="0"/>
      <w:adjustRightInd w:val="0"/>
      <w:spacing w:after="160" w:line="278" w:lineRule="auto"/>
    </w:pPr>
    <w:rPr>
      <w:rFonts w:ascii="Times New Roman" w:hAnsi="Times New Roman" w:eastAsia="宋体" w:cs="Times New Roman"/>
      <w:sz w:val="24"/>
      <w:szCs w:val="24"/>
      <w:lang w:val="en-US" w:eastAsia="zh-CN" w:bidi="ar-SA"/>
    </w:rPr>
  </w:style>
  <w:style w:type="character" w:customStyle="1" w:styleId="27">
    <w:name w:val="标题 1 字符"/>
    <w:link w:val="3"/>
    <w:qFormat/>
    <w:uiPriority w:val="9"/>
    <w:rPr>
      <w:rFonts w:ascii="等线 Light" w:hAnsi="等线 Light" w:eastAsia="等线 Light" w:cs="黑体"/>
      <w:color w:val="0F4760"/>
      <w:sz w:val="48"/>
      <w:szCs w:val="48"/>
    </w:rPr>
  </w:style>
  <w:style w:type="character" w:customStyle="1" w:styleId="28">
    <w:name w:val="标题 2 字符"/>
    <w:link w:val="4"/>
    <w:semiHidden/>
    <w:qFormat/>
    <w:uiPriority w:val="9"/>
    <w:rPr>
      <w:rFonts w:ascii="等线 Light" w:hAnsi="等线 Light" w:eastAsia="等线 Light" w:cs="黑体"/>
      <w:color w:val="0F4760"/>
      <w:sz w:val="40"/>
      <w:szCs w:val="40"/>
    </w:rPr>
  </w:style>
  <w:style w:type="character" w:customStyle="1" w:styleId="29">
    <w:name w:val="标题 3 字符"/>
    <w:link w:val="5"/>
    <w:semiHidden/>
    <w:qFormat/>
    <w:uiPriority w:val="9"/>
    <w:rPr>
      <w:rFonts w:ascii="等线 Light" w:hAnsi="等线 Light" w:eastAsia="等线 Light" w:cs="黑体"/>
      <w:color w:val="0F4760"/>
      <w:sz w:val="32"/>
      <w:szCs w:val="32"/>
    </w:rPr>
  </w:style>
  <w:style w:type="character" w:customStyle="1" w:styleId="30">
    <w:name w:val="标题 4 字符"/>
    <w:link w:val="6"/>
    <w:qFormat/>
    <w:uiPriority w:val="9"/>
    <w:rPr>
      <w:rFonts w:cs="黑体"/>
      <w:color w:val="0F4760"/>
      <w:sz w:val="28"/>
      <w:szCs w:val="28"/>
    </w:rPr>
  </w:style>
  <w:style w:type="character" w:customStyle="1" w:styleId="31">
    <w:name w:val="标题 5 字符"/>
    <w:link w:val="7"/>
    <w:semiHidden/>
    <w:qFormat/>
    <w:uiPriority w:val="9"/>
    <w:rPr>
      <w:rFonts w:cs="黑体"/>
      <w:color w:val="0F4760"/>
      <w:sz w:val="24"/>
      <w:szCs w:val="24"/>
    </w:rPr>
  </w:style>
  <w:style w:type="character" w:customStyle="1" w:styleId="32">
    <w:name w:val="标题 6 字符"/>
    <w:link w:val="8"/>
    <w:semiHidden/>
    <w:qFormat/>
    <w:uiPriority w:val="9"/>
    <w:rPr>
      <w:rFonts w:cs="黑体"/>
      <w:b/>
      <w:bCs/>
      <w:color w:val="0F4760"/>
    </w:rPr>
  </w:style>
  <w:style w:type="character" w:customStyle="1" w:styleId="33">
    <w:name w:val="标题 7 字符"/>
    <w:link w:val="9"/>
    <w:semiHidden/>
    <w:qFormat/>
    <w:uiPriority w:val="9"/>
    <w:rPr>
      <w:rFonts w:cs="黑体"/>
      <w:b/>
      <w:bCs/>
      <w:color w:val="565656"/>
    </w:rPr>
  </w:style>
  <w:style w:type="character" w:customStyle="1" w:styleId="34">
    <w:name w:val="标题 8 字符"/>
    <w:link w:val="10"/>
    <w:semiHidden/>
    <w:qFormat/>
    <w:uiPriority w:val="9"/>
    <w:rPr>
      <w:rFonts w:cs="黑体"/>
      <w:color w:val="565656"/>
    </w:rPr>
  </w:style>
  <w:style w:type="character" w:customStyle="1" w:styleId="35">
    <w:name w:val="标题 9 字符"/>
    <w:link w:val="11"/>
    <w:semiHidden/>
    <w:qFormat/>
    <w:uiPriority w:val="9"/>
    <w:rPr>
      <w:rFonts w:eastAsia="等线 Light" w:cs="黑体"/>
      <w:color w:val="565656"/>
    </w:rPr>
  </w:style>
  <w:style w:type="character" w:customStyle="1" w:styleId="36">
    <w:name w:val="标题 字符"/>
    <w:link w:val="17"/>
    <w:qFormat/>
    <w:uiPriority w:val="10"/>
    <w:rPr>
      <w:rFonts w:ascii="等线 Light" w:hAnsi="等线 Light" w:eastAsia="等线 Light" w:cs="黑体"/>
      <w:spacing w:val="-10"/>
      <w:kern w:val="28"/>
      <w:sz w:val="56"/>
      <w:szCs w:val="56"/>
    </w:rPr>
  </w:style>
  <w:style w:type="character" w:customStyle="1" w:styleId="37">
    <w:name w:val="副标题 字符"/>
    <w:link w:val="15"/>
    <w:qFormat/>
    <w:uiPriority w:val="11"/>
    <w:rPr>
      <w:rFonts w:ascii="等线 Light" w:hAnsi="等线 Light" w:eastAsia="等线 Light" w:cs="黑体"/>
      <w:color w:val="565656"/>
      <w:spacing w:val="15"/>
      <w:sz w:val="28"/>
      <w:szCs w:val="28"/>
    </w:rPr>
  </w:style>
  <w:style w:type="character" w:customStyle="1" w:styleId="38">
    <w:name w:val="引用 字符"/>
    <w:link w:val="21"/>
    <w:qFormat/>
    <w:uiPriority w:val="29"/>
    <w:rPr>
      <w:i/>
      <w:iCs/>
      <w:color w:val="3F3F3F"/>
    </w:rPr>
  </w:style>
  <w:style w:type="character" w:customStyle="1" w:styleId="39">
    <w:name w:val="明显强调1"/>
    <w:qFormat/>
    <w:uiPriority w:val="21"/>
    <w:rPr>
      <w:i/>
      <w:iCs/>
      <w:color w:val="0F4760"/>
    </w:rPr>
  </w:style>
  <w:style w:type="character" w:customStyle="1" w:styleId="40">
    <w:name w:val="明显引用 字符"/>
    <w:link w:val="23"/>
    <w:qFormat/>
    <w:uiPriority w:val="30"/>
    <w:rPr>
      <w:i/>
      <w:iCs/>
      <w:color w:val="0F4760"/>
    </w:rPr>
  </w:style>
  <w:style w:type="character" w:customStyle="1" w:styleId="41">
    <w:name w:val="明显参考1"/>
    <w:qFormat/>
    <w:uiPriority w:val="32"/>
    <w:rPr>
      <w:b/>
      <w:bCs/>
      <w:smallCaps/>
      <w:color w:val="0F4760"/>
      <w:spacing w:val="5"/>
    </w:rPr>
  </w:style>
  <w:style w:type="character" w:customStyle="1" w:styleId="42">
    <w:name w:val="页眉 字符"/>
    <w:link w:val="14"/>
    <w:qFormat/>
    <w:uiPriority w:val="99"/>
    <w:rPr>
      <w:rFonts w:ascii="Calibri" w:hAnsi="Calibri" w:eastAsia="仿宋_GB2312" w:cs="Times New Roman"/>
      <w:kern w:val="0"/>
      <w:sz w:val="18"/>
      <w:szCs w:val="18"/>
    </w:rPr>
  </w:style>
  <w:style w:type="character" w:customStyle="1" w:styleId="43">
    <w:name w:val="页脚 字符"/>
    <w:link w:val="13"/>
    <w:qFormat/>
    <w:uiPriority w:val="99"/>
    <w:rPr>
      <w:rFonts w:ascii="Calibri" w:hAnsi="Calibri" w:eastAsia="仿宋_GB2312" w:cs="Times New Roman"/>
      <w:kern w:val="0"/>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theme" Target="theme/theme1.xml"/><Relationship Id="rId19" Type="http://schemas.openxmlformats.org/officeDocument/2006/relationships/image" Target="media/image1.wmf"/><Relationship Id="rId2" Type="http://schemas.openxmlformats.org/officeDocument/2006/relationships/styles" Target="styles.xml"/><Relationship Id="rId20" Type="http://schemas.openxmlformats.org/officeDocument/2006/relationships/customXml" Target="../customXml/item1.xml"/><Relationship Id="rId21"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4022</Words>
  <Characters>22928</Characters>
  <Lines>191</Lines>
  <Paragraphs>53</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2024-02-27T04:05:00Z</dcterms:created>
  <dc:creator>chansingon</dc:creator>
  <cp:lastModifiedBy>Administrator</cp:lastModifiedBy>
  <cp:lastPrinted>2024-04-15T02:36:04Z</cp:lastPrinted>
  <dcterms:modified xsi:type="dcterms:W3CDTF">2024-04-15T02:36:11Z</dcterms:modified>
  <dc:title>内部资料</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3C437C942A854DFC8D9E0A05691A7439_12</vt:lpwstr>
  </property>
</Properties>
</file>