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44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bookmarkStart w:id="0" w:name="_Hlk160786436"/>
    </w:p>
    <w:p>
      <w:pPr>
        <w:widowControl w:val="0"/>
        <w:wordWrap/>
        <w:adjustRightInd/>
        <w:snapToGrid/>
        <w:spacing w:before="0" w:after="0" w:line="60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widowControl w:val="0"/>
        <w:wordWrap/>
        <w:adjustRightInd/>
        <w:snapToGrid/>
        <w:spacing w:before="0" w:after="0" w:line="44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widowControl w:val="0"/>
        <w:wordWrap/>
        <w:adjustRightInd/>
        <w:snapToGrid/>
        <w:spacing w:before="0" w:after="0" w:line="44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adjustRightInd/>
        <w:spacing w:before="0" w:after="0" w:line="680" w:lineRule="exact"/>
        <w:jc w:val="right"/>
        <w:rPr>
          <w:rFonts w:hint="eastAsia" w:ascii="仿宋" w:hAnsi="仿宋" w:eastAsia="仿宋" w:cs="仿宋"/>
          <w:color w:val="000000"/>
          <w:sz w:val="28"/>
          <w:szCs w:val="28"/>
          <w:lang w:val="en-US" w:eastAsia="zh-CN"/>
        </w:rPr>
      </w:pPr>
    </w:p>
    <w:p>
      <w:pPr>
        <w:widowControl w:val="0"/>
        <w:kinsoku w:val="0"/>
        <w:wordWrap/>
        <w:autoSpaceDE w:val="0"/>
        <w:autoSpaceDN w:val="0"/>
        <w:adjustRightInd/>
        <w:snapToGrid/>
        <w:spacing w:before="0" w:after="0" w:line="840" w:lineRule="exact"/>
        <w:ind w:left="0" w:leftChars="0" w:right="0" w:firstLine="0" w:firstLineChars="0"/>
        <w:jc w:val="center"/>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widowControl w:val="0"/>
        <w:wordWrap/>
        <w:adjustRightInd/>
        <w:snapToGrid/>
        <w:spacing w:before="0" w:after="0" w:line="68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lang w:val="en-US" w:eastAsia="zh-CN"/>
        </w:rPr>
      </w:pPr>
      <w:bookmarkStart w:id="1" w:name="_GoBack"/>
      <w:r>
        <w:rPr>
          <w:rFonts w:hint="eastAsia" w:ascii="仿宋_GB2312" w:hAnsi="仿宋_GB2312" w:eastAsia="仿宋_GB2312" w:cs="仿宋_GB2312"/>
          <w:color w:val="auto"/>
          <w:sz w:val="32"/>
          <w:szCs w:val="32"/>
          <w:lang w:val="en-US" w:eastAsia="zh-CN"/>
        </w:rPr>
        <w:t>荔政规〔2024〕3号</w:t>
      </w:r>
    </w:p>
    <w:bookmarkEnd w:id="1"/>
    <w:p>
      <w:pPr>
        <w:widowControl/>
        <w:shd w:val="clear" w:color="auto" w:fill="FFFFFF"/>
        <w:wordWrap/>
        <w:adjustRightInd/>
        <w:snapToGrid/>
        <w:spacing w:before="0" w:after="0" w:line="600" w:lineRule="exact"/>
        <w:ind w:left="0" w:leftChars="0" w:right="0" w:firstLine="0" w:firstLineChars="0"/>
        <w:jc w:val="center"/>
        <w:textAlignment w:val="auto"/>
        <w:outlineLvl w:val="9"/>
        <w:rPr>
          <w:rFonts w:hint="eastAsia" w:ascii="仿宋" w:hAnsi="仿宋" w:eastAsia="仿宋" w:cs="仿宋"/>
          <w:b w:val="0"/>
          <w:bCs w:val="0"/>
          <w:color w:val="auto"/>
          <w:kern w:val="0"/>
          <w:sz w:val="32"/>
          <w:szCs w:val="32"/>
          <w:lang w:eastAsia="zh-CN"/>
        </w:rPr>
      </w:pPr>
    </w:p>
    <w:p>
      <w:pPr>
        <w:widowControl w:val="0"/>
        <w:wordWrap/>
        <w:adjustRightInd/>
        <w:snapToGrid/>
        <w:spacing w:before="0" w:beforeAutospacing="0" w:after="0" w:afterAutospacing="0" w:line="620" w:lineRule="exact"/>
        <w:ind w:left="0" w:leftChars="0" w:right="0" w:firstLine="0" w:firstLineChars="0"/>
        <w:jc w:val="center"/>
        <w:textAlignment w:val="auto"/>
        <w:outlineLvl w:val="9"/>
        <w:rPr>
          <w:rFonts w:hint="eastAsia" w:ascii="方正小标宋简体" w:hAnsi="黑体" w:eastAsia="方正小标宋简体" w:cs="宋体"/>
          <w:color w:val="auto"/>
          <w:sz w:val="44"/>
          <w:szCs w:val="44"/>
          <w:lang w:val="en-US"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0"/>
          <w:w w:val="100"/>
          <w:sz w:val="42"/>
          <w:szCs w:val="42"/>
          <w:lang w:val="en-US" w:eastAsia="zh-CN"/>
        </w:rPr>
      </w:pPr>
      <w:r>
        <w:rPr>
          <w:rFonts w:hint="eastAsia" w:ascii="方正小标宋简体" w:hAnsi="方正小标宋简体" w:eastAsia="方正小标宋简体" w:cs="方正小标宋简体"/>
          <w:b w:val="0"/>
          <w:bCs w:val="0"/>
          <w:color w:val="auto"/>
          <w:spacing w:val="0"/>
          <w:w w:val="100"/>
          <w:sz w:val="42"/>
          <w:szCs w:val="42"/>
          <w:lang w:val="en-US" w:eastAsia="zh-CN"/>
        </w:rPr>
        <w:t>莆田市荔城区人民政府关于</w:t>
      </w:r>
    </w:p>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方正小标宋简体"/>
          <w:color w:val="000000"/>
          <w:spacing w:val="0"/>
          <w:sz w:val="44"/>
          <w:szCs w:val="44"/>
        </w:rPr>
      </w:pPr>
      <w:r>
        <w:rPr>
          <w:rFonts w:hint="eastAsia" w:ascii="Times New Roman" w:hAnsi="Times New Roman" w:eastAsia="方正小标宋简体"/>
          <w:color w:val="000000"/>
          <w:spacing w:val="0"/>
          <w:sz w:val="44"/>
          <w:szCs w:val="44"/>
        </w:rPr>
        <w:t>公布荔城区集体建设用地基准地价的</w:t>
      </w:r>
      <w:bookmarkEnd w:id="0"/>
      <w:r>
        <w:rPr>
          <w:rFonts w:hint="eastAsia" w:ascii="Times New Roman" w:hAnsi="Times New Roman" w:eastAsia="方正小标宋简体"/>
          <w:color w:val="000000"/>
          <w:spacing w:val="0"/>
          <w:sz w:val="44"/>
          <w:szCs w:val="44"/>
        </w:rPr>
        <w:t>通知</w:t>
      </w:r>
    </w:p>
    <w:p>
      <w:pPr>
        <w:widowControl w:val="0"/>
        <w:wordWrap/>
        <w:adjustRightInd/>
        <w:snapToGrid/>
        <w:spacing w:before="0" w:after="0" w:line="420" w:lineRule="exact"/>
        <w:ind w:left="0" w:leftChars="0" w:right="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420" w:lineRule="exact"/>
        <w:ind w:left="0" w:leftChars="0" w:right="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各镇街，区有关单位：</w:t>
      </w:r>
    </w:p>
    <w:p>
      <w:pPr>
        <w:widowControl w:val="0"/>
        <w:wordWrap/>
        <w:adjustRightInd/>
        <w:snapToGrid/>
        <w:spacing w:before="0" w:after="0" w:line="42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为规范我区土地市场体系，加强地价管理，确保土地资源的合理配置，经研究，现将荔城区集体建设用地基准地价公布，自印发之日起施行</w:t>
      </w:r>
      <w:r>
        <w:rPr>
          <w:rFonts w:hint="eastAsia" w:ascii="仿宋_GB2312" w:hAnsi="仿宋_GB2312" w:eastAsia="仿宋_GB2312" w:cs="仿宋_GB2312"/>
          <w:color w:val="000000"/>
          <w:sz w:val="32"/>
          <w:szCs w:val="32"/>
          <w:lang w:eastAsia="zh-CN"/>
        </w:rPr>
        <w:t>，有效期两</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w:t>
      </w:r>
    </w:p>
    <w:p>
      <w:pPr>
        <w:pStyle w:val="2"/>
        <w:widowControl w:val="0"/>
        <w:wordWrap/>
        <w:adjustRightInd/>
        <w:snapToGrid/>
        <w:spacing w:before="0" w:after="0" w:line="420" w:lineRule="exact"/>
        <w:ind w:left="0" w:leftChars="0" w:right="0"/>
        <w:jc w:val="both"/>
        <w:textAlignment w:val="auto"/>
        <w:outlineLvl w:val="9"/>
        <w:rPr>
          <w:rFonts w:hint="eastAsia"/>
        </w:rPr>
      </w:pPr>
    </w:p>
    <w:p>
      <w:pPr>
        <w:widowControl w:val="0"/>
        <w:wordWrap/>
        <w:adjustRightInd/>
        <w:snapToGrid/>
        <w:spacing w:before="0" w:after="0" w:line="42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荔城区集体建设用地级别范围表</w:t>
      </w:r>
    </w:p>
    <w:p>
      <w:pPr>
        <w:widowControl w:val="0"/>
        <w:wordWrap/>
        <w:adjustRightInd/>
        <w:snapToGrid/>
        <w:spacing w:before="0" w:after="0" w:line="420" w:lineRule="exact"/>
        <w:ind w:left="0" w:leftChars="0" w:right="0" w:firstLine="1600" w:firstLineChars="5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2.荔城区集体建设用地基准地价表</w:t>
      </w:r>
    </w:p>
    <w:p>
      <w:pPr>
        <w:widowControl w:val="0"/>
        <w:wordWrap/>
        <w:adjustRightInd/>
        <w:snapToGrid/>
        <w:spacing w:before="0" w:after="0" w:line="420" w:lineRule="exact"/>
        <w:ind w:left="0" w:leftChars="0" w:right="0" w:firstLine="1600" w:firstLineChars="5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3.荔城区集体建设用地基准地价使用说明</w:t>
      </w:r>
    </w:p>
    <w:p>
      <w:pPr>
        <w:widowControl w:val="0"/>
        <w:wordWrap/>
        <w:adjustRightInd/>
        <w:snapToGrid/>
        <w:spacing w:before="0" w:after="0" w:line="460" w:lineRule="exact"/>
        <w:ind w:left="0" w:leftChars="0" w:right="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4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莆田市荔城区人民政府</w:t>
      </w:r>
    </w:p>
    <w:p>
      <w:pPr>
        <w:widowControl w:val="0"/>
        <w:wordWrap/>
        <w:adjustRightInd/>
        <w:snapToGrid/>
        <w:spacing w:beforeLines="5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2024年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p>
    <w:p>
      <w:pPr>
        <w:widowControl w:val="0"/>
        <w:adjustRightInd/>
        <w:snapToGrid/>
        <w:spacing w:before="0" w:after="0" w:line="590" w:lineRule="exact"/>
        <w:ind w:left="0" w:leftChars="0" w:right="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000000"/>
          <w:sz w:val="32"/>
          <w:szCs w:val="32"/>
        </w:rPr>
        <w:t>（此件主动公开）</w:t>
      </w:r>
      <w:r>
        <w:rPr>
          <w:rFonts w:hint="eastAsia" w:ascii="仿宋_GB2312" w:hAnsi="仿宋_GB2312" w:eastAsia="仿宋_GB2312" w:cs="仿宋_GB2312"/>
          <w:color w:val="000000"/>
          <w:sz w:val="32"/>
          <w:szCs w:val="32"/>
        </w:rPr>
        <w:br w:type="page"/>
      </w:r>
      <w:r>
        <w:rPr>
          <w:rFonts w:hint="eastAsia" w:ascii="黑体" w:hAnsi="黑体" w:eastAsia="黑体" w:cs="黑体"/>
          <w:color w:val="000000"/>
          <w:sz w:val="32"/>
          <w:szCs w:val="32"/>
          <w:lang w:val="en-US" w:eastAsia="zh-CN"/>
        </w:rPr>
        <w:t>附件</w:t>
      </w:r>
      <w:r>
        <w:rPr>
          <w:rFonts w:hint="eastAsia" w:ascii="仿宋" w:hAnsi="仿宋" w:eastAsia="仿宋" w:cs="仿宋"/>
          <w:b/>
          <w:bCs/>
          <w:color w:val="000000"/>
          <w:sz w:val="32"/>
          <w:szCs w:val="32"/>
          <w:lang w:val="en-US" w:eastAsia="zh-CN"/>
        </w:rPr>
        <w:t>1</w:t>
      </w:r>
    </w:p>
    <w:p>
      <w:pPr>
        <w:widowControl w:val="0"/>
        <w:wordWrap/>
        <w:adjustRightInd/>
        <w:snapToGrid/>
        <w:spacing w:beforeLines="50" w:after="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荔城区集体建设用地级别范围表</w:t>
      </w:r>
    </w:p>
    <w:p>
      <w:pPr>
        <w:spacing w:afterLines="50" w:line="50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（商服用地、宅基地）</w:t>
      </w:r>
    </w:p>
    <w:p>
      <w:pPr>
        <w:widowControl w:val="0"/>
        <w:wordWrap/>
        <w:adjustRightInd/>
        <w:snapToGrid/>
        <w:spacing w:before="0" w:after="0" w:line="2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p>
    <w:tbl>
      <w:tblPr>
        <w:tblW w:w="9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9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trPr>
        <w:tc>
          <w:tcPr>
            <w:tcW w:w="1176" w:type="dxa"/>
            <w:vAlign w:val="center"/>
          </w:tcPr>
          <w:p>
            <w:pPr>
              <w:widowControl/>
              <w:wordWrap/>
              <w:adjustRightInd/>
              <w:snapToGrid/>
              <w:spacing w:before="0" w:after="0" w:line="260" w:lineRule="exact"/>
              <w:ind w:left="0" w:leftChars="0" w:right="0" w:firstLine="0" w:firstLineChars="0"/>
              <w:jc w:val="center"/>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区域</w:t>
            </w:r>
          </w:p>
        </w:tc>
        <w:tc>
          <w:tcPr>
            <w:tcW w:w="792" w:type="dxa"/>
            <w:vAlign w:val="center"/>
          </w:tcPr>
          <w:p>
            <w:pPr>
              <w:widowControl/>
              <w:wordWrap/>
              <w:adjustRightInd/>
              <w:snapToGrid/>
              <w:spacing w:before="0" w:after="0" w:line="260" w:lineRule="exact"/>
              <w:ind w:left="0" w:leftChars="0" w:right="0" w:firstLine="0" w:firstLineChars="0"/>
              <w:jc w:val="center"/>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级别</w:t>
            </w:r>
          </w:p>
        </w:tc>
        <w:tc>
          <w:tcPr>
            <w:tcW w:w="7035" w:type="dxa"/>
            <w:vAlign w:val="center"/>
          </w:tcPr>
          <w:p>
            <w:pPr>
              <w:widowControl/>
              <w:wordWrap/>
              <w:adjustRightInd/>
              <w:snapToGrid/>
              <w:spacing w:before="0" w:after="0" w:line="260" w:lineRule="exact"/>
              <w:ind w:left="0" w:leftChars="0" w:right="0" w:firstLine="0" w:firstLineChars="0"/>
              <w:jc w:val="center"/>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中心城区</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八二一街—莆阳路—与城厢区交界处—西门小区南侧道路—胜利北街—东园东路—八二一街。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延寿街—与城厢区交界处—东圳路—延寿街。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分布在二级地外围，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荔园路—与城厢区交界处—延寿溪—名成佳园北侧—学园街—八二一北街—荔园路。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分布在三级地外围，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荔园路—迎宾大道—木兰溪—与城厢区交界处—莆田二中南侧—荔城北大道—荔园路。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分布在四级地外围，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莆田学院（紫宵校区）—与涵江区交界处—荔涵大道—德信商业广场东侧—九华大道—少林南街—城涵大道—立西线—迎宾大道外侧约300米—木兰溪—迎宾大道—木兰大道—与城厢区交界处—体育公园北侧—紫宵路北侧约100米—莆田学院（紫宵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除以上五级范围外的其他区域。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黄石镇</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镇中心区：兴美街—重兴南街东侧小路—晴岚路—石兴街西侧—隆兴街西侧—莆兴东路—东井北街—丰石东路北侧—兴美街；</w:t>
            </w:r>
          </w:p>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高铁新城片区：荔港大道—与秀屿区交界处—福厦铁路—谷城西路—荔港大道。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涵港大道—谷城东路—重兴南街—石黄线—梅山路—荔港大道—与秀屿区交界处—与新度镇交界处—沈海高速—林芝路南侧约300米—与新度镇交界处—荔港大道—沈海高速—莆兴东路—涵港大道。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分布在一级、二级和中心城区范围外的行政村：华东村、华中村、井后村、和平村、金山村、徐厝村、东埭村、惠下村、天马村、沙堤村、凤山村、定庄村、瑶台村、横塘村、沙坂村、澄瀛村。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除以上三级范围外的其他区域。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西天尾镇（除中心城区外）</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分布在中心城区范围外的行政村：林峰村、渭阳村、后埔村、后卓村、溪白村。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除一级范围外的其他区域。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新度镇（除中心城区外）</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分布在中心城区范围外的行政村：厝柄村、蒲坂村、东郊村、下坂村、善乡村、沟尾村、龙头村、凌厝村、东宋村、东埔余村、桂林村、大坂村、青垞村、沟口村、下横山村。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除一级范围外的其他区域。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北高镇</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分布在北高镇中心区，东至北高镇政府、凤仙南街东侧，南至兴湖西路南侧、莆炎高速以北的笏埭线，西至北高市场，北至尚德西路北侧、北高卫生院。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分布在一级地范围外的行政村：岱峰村、福岭村、北高村、坑园村、院后村、呈山村。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除以上两级范围外的其他区域。</w:t>
            </w:r>
          </w:p>
        </w:tc>
      </w:tr>
    </w:tbl>
    <w:p>
      <w:pPr>
        <w:widowControl w:val="0"/>
        <w:wordWrap/>
        <w:adjustRightInd/>
        <w:snapToGrid/>
        <w:spacing w:before="0" w:afterLines="5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荔城区集体建设用地级别范围表（工业用地）</w:t>
      </w:r>
    </w:p>
    <w:tbl>
      <w:tblPr>
        <w:tblW w:w="9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9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76" w:type="dxa"/>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区域</w:t>
            </w:r>
          </w:p>
        </w:tc>
        <w:tc>
          <w:tcPr>
            <w:tcW w:w="792" w:type="dxa"/>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级别</w:t>
            </w:r>
          </w:p>
        </w:tc>
        <w:tc>
          <w:tcPr>
            <w:tcW w:w="7035" w:type="dxa"/>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restart"/>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中心城区</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八二一街—莆阳路—与城厢区交界处—东园东路—八二一街。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延寿街—东梅路—荔园路—下黄社区北侧河流—学园街—八二一北街—延寿街。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分布在二级地外围，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荔园路—迎宾大道—木兰溪—与城厢区交界处—莆田二中南侧—荔城北大道北侧约200米—荔园路。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除以上三级范围外的其他区域。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restart"/>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黄石镇</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南洋东大道—道山街—谷城东路—重兴南街—石黄线—梅山路—荔港大道—谷城西路—沈海高速—丰石路北侧约100米—南洋东大道。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除一级范围外的其他区域。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西天尾镇（除中心城区外）</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除中心城区范围外的区域。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新度镇（除中心城区外）</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除中心城区范围外的区域。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76"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北高镇</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北高镇全域。</w:t>
            </w:r>
          </w:p>
        </w:tc>
      </w:tr>
    </w:tbl>
    <w:p>
      <w:pPr>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24"/>
          <w:szCs w:val="24"/>
          <w:lang w:val="en-US" w:eastAsia="zh-CN"/>
        </w:rPr>
        <w:br w:type="page"/>
      </w:r>
      <w:r>
        <w:rPr>
          <w:rFonts w:hint="eastAsia" w:ascii="黑体" w:hAnsi="黑体" w:eastAsia="黑体" w:cs="黑体"/>
          <w:color w:val="000000"/>
          <w:sz w:val="32"/>
          <w:szCs w:val="32"/>
          <w:lang w:val="en-US" w:eastAsia="zh-CN"/>
        </w:rPr>
        <w:t>附件</w:t>
      </w:r>
      <w:r>
        <w:rPr>
          <w:rFonts w:hint="eastAsia" w:ascii="仿宋" w:hAnsi="仿宋" w:eastAsia="仿宋" w:cs="仿宋"/>
          <w:b/>
          <w:bCs/>
          <w:color w:val="000000"/>
          <w:sz w:val="32"/>
          <w:szCs w:val="32"/>
          <w:lang w:val="en-US" w:eastAsia="zh-CN"/>
        </w:rPr>
        <w:t>2</w:t>
      </w:r>
    </w:p>
    <w:p>
      <w:pPr>
        <w:widowControl w:val="0"/>
        <w:wordWrap/>
        <w:adjustRightInd/>
        <w:snapToGrid/>
        <w:spacing w:beforeLines="100" w:afterLines="10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荔城区集体建设用地基准地价表（商服用地）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单位：元/</w:t>
      </w:r>
      <w:r>
        <w:rPr>
          <w:rFonts w:hint="eastAsia" w:ascii="仿宋_GB2312" w:hAnsi="仿宋_GB2312" w:eastAsia="仿宋_GB2312" w:cs="仿宋_GB2312"/>
          <w:bCs/>
          <w:sz w:val="28"/>
          <w:szCs w:val="28"/>
        </w:rPr>
        <w:t>㎡</w:t>
      </w:r>
    </w:p>
    <w:tbl>
      <w:tblPr>
        <w:tblW w:w="8941"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4"/>
        <w:gridCol w:w="894"/>
        <w:gridCol w:w="1438"/>
        <w:gridCol w:w="1262"/>
        <w:gridCol w:w="1138"/>
        <w:gridCol w:w="898"/>
        <w:gridCol w:w="1065"/>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区域</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kern w:val="0"/>
                <w:sz w:val="28"/>
                <w:szCs w:val="28"/>
                <w:u w:val="none"/>
                <w:lang w:val="en-US" w:eastAsia="zh-CN"/>
              </w:rPr>
            </w:pPr>
            <w:r>
              <w:rPr>
                <w:rFonts w:hint="eastAsia" w:ascii="黑体" w:hAnsi="黑体" w:eastAsia="黑体" w:cs="黑体"/>
                <w:b w:val="0"/>
                <w:bCs w:val="0"/>
                <w:i w:val="0"/>
                <w:iCs w:val="0"/>
                <w:color w:val="000000"/>
                <w:kern w:val="0"/>
                <w:sz w:val="28"/>
                <w:szCs w:val="28"/>
                <w:u w:val="none"/>
                <w:lang w:val="en-US" w:eastAsia="zh-CN"/>
              </w:rPr>
              <w:t>土地</w:t>
            </w:r>
          </w:p>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级别</w:t>
            </w:r>
          </w:p>
        </w:tc>
        <w:tc>
          <w:tcPr>
            <w:tcW w:w="5801"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992" w:type="dxa"/>
            <w:vMerge w:val="restart"/>
            <w:tcBorders>
              <w:top w:val="single" w:color="000000" w:sz="4" w:space="0"/>
              <w:left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kern w:val="0"/>
                <w:sz w:val="28"/>
                <w:szCs w:val="28"/>
                <w:u w:val="none"/>
                <w:lang w:val="en-US" w:eastAsia="zh-CN"/>
              </w:rPr>
            </w:pPr>
            <w:r>
              <w:rPr>
                <w:rFonts w:hint="eastAsia" w:ascii="黑体" w:hAnsi="黑体" w:eastAsia="黑体" w:cs="黑体"/>
                <w:b w:val="0"/>
                <w:bCs w:val="0"/>
                <w:i w:val="0"/>
                <w:iCs w:val="0"/>
                <w:color w:val="000000"/>
                <w:kern w:val="0"/>
                <w:sz w:val="28"/>
                <w:szCs w:val="28"/>
                <w:u w:val="none"/>
                <w:lang w:val="en-US" w:eastAsia="zh-CN"/>
              </w:rPr>
              <w:t>修正</w:t>
            </w:r>
          </w:p>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30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30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零售商业、批发市场用地</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餐饮、旅馆用地</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商务金融用地</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娱乐用地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其他商服用地</w:t>
            </w:r>
          </w:p>
        </w:tc>
        <w:tc>
          <w:tcPr>
            <w:tcW w:w="992" w:type="dxa"/>
            <w:vMerge w:val="continue"/>
            <w:tcBorders>
              <w:left w:val="single" w:color="000000" w:sz="4" w:space="0"/>
              <w:right w:val="single" w:color="000000" w:sz="4" w:space="0"/>
            </w:tcBorders>
            <w:vAlign w:val="center"/>
          </w:tcPr>
          <w:p>
            <w:pPr>
              <w:wordWrap/>
              <w:adjustRightInd/>
              <w:snapToGrid/>
              <w:spacing w:before="0" w:after="0" w:line="30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中心城区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5143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3086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2726</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2573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2880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4228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2537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2241</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2115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2369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三级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3318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1991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1758</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1659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1859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四级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2485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1491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1317</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1244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1392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五级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1845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1107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978</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923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1034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六级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1370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822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726</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686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767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黄石镇</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1883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1130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998</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942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1055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1390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834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737</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696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779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三级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1043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626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552</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522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584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四级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818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491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西天尾镇（除中心城区外）</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1055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633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560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528</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591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793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新度镇（除中心城区外）</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1068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641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566</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534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599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805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北高镇</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853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670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三级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538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bl>
    <w:p>
      <w:pPr>
        <w:spacing w:afterLines="50" w:line="50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lang w:val="en-US" w:eastAsia="zh-CN"/>
        </w:rPr>
        <w:t>荔城区集体建设用地基准地价表（宅基地）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单位：元/</w:t>
      </w:r>
      <w:r>
        <w:rPr>
          <w:rFonts w:hint="eastAsia" w:ascii="仿宋_GB2312" w:hAnsi="仿宋_GB2312" w:eastAsia="仿宋_GB2312" w:cs="仿宋_GB2312"/>
          <w:bCs/>
          <w:sz w:val="28"/>
          <w:szCs w:val="28"/>
        </w:rPr>
        <w:t>㎡</w:t>
      </w:r>
    </w:p>
    <w:tbl>
      <w:tblPr>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5"/>
        <w:gridCol w:w="1522"/>
        <w:gridCol w:w="1522"/>
        <w:gridCol w:w="1523"/>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2755" w:type="dxa"/>
            <w:vMerge w:val="restart"/>
            <w:tcBorders>
              <w:top w:val="single" w:color="000000" w:sz="8" w:space="0"/>
              <w:left w:val="single" w:color="000000" w:sz="8" w:space="0"/>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区域</w:t>
            </w:r>
          </w:p>
        </w:tc>
        <w:tc>
          <w:tcPr>
            <w:tcW w:w="1522" w:type="dxa"/>
            <w:vMerge w:val="restart"/>
            <w:tcBorders>
              <w:top w:val="single" w:color="000000" w:sz="8" w:space="0"/>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土地级别</w:t>
            </w:r>
          </w:p>
        </w:tc>
        <w:tc>
          <w:tcPr>
            <w:tcW w:w="3045" w:type="dxa"/>
            <w:gridSpan w:val="2"/>
            <w:tcBorders>
              <w:top w:val="single" w:color="000000" w:sz="8" w:space="0"/>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基准地价</w:t>
            </w:r>
          </w:p>
        </w:tc>
        <w:tc>
          <w:tcPr>
            <w:tcW w:w="1522" w:type="dxa"/>
            <w:vMerge w:val="restart"/>
            <w:tcBorders>
              <w:top w:val="single" w:color="000000" w:sz="8" w:space="0"/>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2755" w:type="dxa"/>
            <w:vMerge w:val="continue"/>
            <w:tcBorders>
              <w:top w:val="single" w:color="000000" w:sz="8" w:space="0"/>
              <w:left w:val="single" w:color="000000" w:sz="8" w:space="0"/>
              <w:bottom w:val="single" w:color="000000" w:sz="8" w:space="0"/>
              <w:right w:val="single" w:color="000000" w:sz="8" w:space="0"/>
            </w:tcBorders>
            <w:vAlign w:val="center"/>
          </w:tcPr>
          <w:p>
            <w:pPr>
              <w:wordWrap/>
              <w:adjustRightInd/>
              <w:snapToGrid/>
              <w:spacing w:before="0" w:after="0" w:line="36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522" w:type="dxa"/>
            <w:vMerge w:val="continue"/>
            <w:tcBorders>
              <w:top w:val="single" w:color="000000" w:sz="8" w:space="0"/>
              <w:left w:val="nil"/>
              <w:bottom w:val="single" w:color="000000" w:sz="8" w:space="0"/>
              <w:right w:val="single" w:color="000000" w:sz="8" w:space="0"/>
            </w:tcBorders>
            <w:vAlign w:val="center"/>
          </w:tcPr>
          <w:p>
            <w:pPr>
              <w:wordWrap/>
              <w:adjustRightInd/>
              <w:snapToGrid/>
              <w:spacing w:before="0" w:after="0" w:line="36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楼面地价</w:t>
            </w:r>
          </w:p>
        </w:tc>
        <w:tc>
          <w:tcPr>
            <w:tcW w:w="1523" w:type="dxa"/>
            <w:tcBorders>
              <w:top w:val="nil"/>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1522" w:type="dxa"/>
            <w:vMerge w:val="continue"/>
            <w:tcBorders>
              <w:top w:val="single" w:color="000000" w:sz="8" w:space="0"/>
              <w:left w:val="nil"/>
              <w:bottom w:val="single" w:color="000000" w:sz="8" w:space="0"/>
              <w:right w:val="single" w:color="000000" w:sz="8" w:space="0"/>
            </w:tcBorders>
            <w:vAlign w:val="center"/>
          </w:tcPr>
          <w:p>
            <w:pPr>
              <w:wordWrap/>
              <w:adjustRightInd/>
              <w:snapToGrid/>
              <w:spacing w:before="0" w:after="0" w:line="36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2755" w:type="dxa"/>
            <w:vMerge w:val="restart"/>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中心城区</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1827</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4568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1485</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3713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1181</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2953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897</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2243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五级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672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1680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六级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501</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1253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restart"/>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黄石镇</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624</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1560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472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1180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905</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auto" w:sz="4"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289</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723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西天尾镇</w:t>
            </w:r>
          </w:p>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（除中心城区外）</w:t>
            </w: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367</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918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279</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698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新度镇</w:t>
            </w:r>
          </w:p>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（除中心城区外）</w:t>
            </w: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372</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930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284</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710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北高镇</w:t>
            </w: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303</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758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240</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600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192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bl>
    <w:p>
      <w:pPr>
        <w:widowControl w:val="0"/>
        <w:wordWrap/>
        <w:adjustRightInd/>
        <w:snapToGrid/>
        <w:spacing w:before="0" w:after="0" w:line="360" w:lineRule="exact"/>
        <w:ind w:left="0" w:leftChars="0" w:right="0" w:firstLine="0" w:firstLineChars="0"/>
        <w:jc w:val="left"/>
        <w:outlineLvl w:val="9"/>
        <w:rPr>
          <w:rFonts w:hint="eastAsia" w:ascii="仿宋_GB2312" w:hAnsi="仿宋_GB2312" w:eastAsia="仿宋_GB2312" w:cs="仿宋_GB2312"/>
          <w:sz w:val="28"/>
          <w:szCs w:val="28"/>
        </w:rPr>
      </w:pPr>
    </w:p>
    <w:p>
      <w:pPr>
        <w:spacing w:afterLines="50" w:line="500" w:lineRule="exact"/>
        <w:jc w:val="center"/>
        <w:rPr>
          <w:rFonts w:hint="eastAsia" w:ascii="方正小标宋简体" w:hAnsi="方正小标宋简体" w:eastAsia="方正小标宋简体" w:cs="方正小标宋简体"/>
          <w:b w:val="0"/>
          <w:bCs/>
          <w:sz w:val="40"/>
          <w:szCs w:val="40"/>
        </w:rPr>
      </w:pPr>
      <w:r>
        <w:rPr>
          <w:b/>
          <w:szCs w:val="28"/>
        </w:rPr>
        <w:br w:type="page"/>
      </w:r>
      <w:r>
        <w:rPr>
          <w:rFonts w:hint="eastAsia" w:ascii="方正小标宋简体" w:hAnsi="方正小标宋简体" w:eastAsia="方正小标宋简体" w:cs="方正小标宋简体"/>
          <w:b w:val="0"/>
          <w:bCs/>
          <w:sz w:val="40"/>
          <w:szCs w:val="40"/>
          <w:lang w:val="en-US" w:eastAsia="zh-CN"/>
        </w:rPr>
        <w:t>荔城区集体建设用地基准地价表（工业用地）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单位：元/㎡</w:t>
      </w:r>
    </w:p>
    <w:tbl>
      <w:tblPr>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5"/>
        <w:gridCol w:w="1773"/>
        <w:gridCol w:w="1773"/>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Style w:val="38"/>
                <w:rFonts w:hint="eastAsia" w:ascii="黑体" w:hAnsi="黑体" w:eastAsia="黑体" w:cs="黑体"/>
                <w:b w:val="0"/>
                <w:bCs w:val="0"/>
                <w:sz w:val="28"/>
                <w:szCs w:val="28"/>
                <w:lang w:val="en-US" w:eastAsia="zh-CN"/>
              </w:rPr>
              <w:t>区域</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Style w:val="38"/>
                <w:rFonts w:hint="eastAsia" w:ascii="黑体" w:hAnsi="黑体" w:eastAsia="黑体" w:cs="黑体"/>
                <w:b w:val="0"/>
                <w:bCs w:val="0"/>
                <w:sz w:val="28"/>
                <w:szCs w:val="28"/>
                <w:lang w:val="en-US" w:eastAsia="zh-CN"/>
              </w:rPr>
              <w:t>土地级别</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Style w:val="38"/>
                <w:rFonts w:hint="eastAsia" w:ascii="黑体" w:hAnsi="黑体" w:eastAsia="黑体" w:cs="黑体"/>
                <w:b w:val="0"/>
                <w:bCs w:val="0"/>
                <w:sz w:val="28"/>
                <w:szCs w:val="28"/>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中心城区</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690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570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465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375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黄石镇</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390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西天尾镇（除中心城区外）</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新度镇（除中心城区外）</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295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北高镇</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245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bl>
    <w:p>
      <w:pPr>
        <w:rPr>
          <w:rFonts w:hint="eastAsia" w:ascii="方正小标宋简体" w:hAnsi="方正小标宋简体" w:eastAsia="方正小标宋简体" w:cs="方正小标宋简体"/>
          <w:b w:val="0"/>
          <w:bCs/>
          <w:sz w:val="40"/>
          <w:szCs w:val="40"/>
        </w:rPr>
      </w:pP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br w:type="page"/>
      </w:r>
      <w:r>
        <w:rPr>
          <w:rFonts w:hint="eastAsia" w:ascii="方正小标宋简体" w:hAnsi="方正小标宋简体" w:eastAsia="方正小标宋简体" w:cs="方正小标宋简体"/>
          <w:b w:val="0"/>
          <w:bCs/>
          <w:sz w:val="40"/>
          <w:szCs w:val="40"/>
        </w:rPr>
        <w:t>荔城区集体建设用地基准地价表</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（公共管理与公共服务用地）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单位：元/</w:t>
      </w:r>
      <w:r>
        <w:rPr>
          <w:rFonts w:hint="eastAsia" w:ascii="仿宋_GB2312" w:hAnsi="仿宋_GB2312" w:eastAsia="仿宋_GB2312" w:cs="仿宋_GB2312"/>
          <w:bCs/>
          <w:sz w:val="28"/>
          <w:szCs w:val="28"/>
        </w:rPr>
        <w:t>㎡</w:t>
      </w:r>
    </w:p>
    <w:tbl>
      <w:tblPr>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4"/>
        <w:gridCol w:w="946"/>
        <w:gridCol w:w="1374"/>
        <w:gridCol w:w="3766"/>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区域</w:t>
            </w: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土地级别</w:t>
            </w:r>
          </w:p>
        </w:tc>
        <w:tc>
          <w:tcPr>
            <w:tcW w:w="514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37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新闻出版用地</w:t>
            </w:r>
          </w:p>
        </w:tc>
        <w:tc>
          <w:tcPr>
            <w:tcW w:w="376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教育、科研、医疗卫生、社会福利、文化设施、体育用地</w:t>
            </w: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中心城区</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2880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2058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2369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1692</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1859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1328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1392</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995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五级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1034</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738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六级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767</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548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黄石镇</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1055</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753</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779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557</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584</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470</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西天尾镇（除中心城区外）</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591</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474</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357</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新度镇（除中心城区外）</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599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363</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北高镇</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bl>
    <w:p>
      <w:pPr>
        <w:rPr>
          <w:rFonts w:hint="eastAsia" w:ascii="黑体" w:hAnsi="黑体" w:eastAsia="黑体" w:cs="黑体"/>
          <w:color w:val="000000"/>
          <w:sz w:val="32"/>
          <w:szCs w:val="32"/>
          <w:lang w:val="en-US" w:eastAsia="zh-CN"/>
        </w:rPr>
      </w:pPr>
      <w:r>
        <w:rPr>
          <w:rFonts w:hint="eastAsia" w:ascii="楷体" w:hAnsi="楷体" w:eastAsia="楷体" w:cs="楷体"/>
          <w:color w:val="000000"/>
          <w:sz w:val="28"/>
          <w:szCs w:val="28"/>
          <w:lang w:val="en-US" w:eastAsia="zh-CN"/>
        </w:rPr>
        <w:t>注：上述各类用地级别范围参照对应的商服用地级别范围。</w:t>
      </w:r>
      <w:r>
        <w:rPr>
          <w:rFonts w:hint="eastAsia" w:ascii="仿宋" w:hAnsi="仿宋" w:eastAsia="仿宋" w:cs="仿宋"/>
          <w:color w:val="000000"/>
          <w:sz w:val="32"/>
          <w:szCs w:val="32"/>
          <w:lang w:val="en-US" w:eastAsia="zh-CN"/>
        </w:rPr>
        <w:br w:type="page"/>
      </w:r>
      <w:r>
        <w:rPr>
          <w:rFonts w:hint="eastAsia" w:ascii="黑体" w:hAnsi="黑体" w:eastAsia="黑体" w:cs="黑体"/>
          <w:color w:val="000000"/>
          <w:sz w:val="32"/>
          <w:szCs w:val="32"/>
          <w:lang w:val="en-US" w:eastAsia="zh-CN"/>
        </w:rPr>
        <w:t>附件</w:t>
      </w:r>
      <w:r>
        <w:rPr>
          <w:rFonts w:hint="eastAsia" w:ascii="仿宋" w:hAnsi="仿宋" w:eastAsia="仿宋" w:cs="仿宋"/>
          <w:b/>
          <w:bCs/>
          <w:color w:val="000000"/>
          <w:sz w:val="32"/>
          <w:szCs w:val="32"/>
          <w:lang w:val="en-US" w:eastAsia="zh-CN"/>
        </w:rPr>
        <w:t>3</w:t>
      </w:r>
    </w:p>
    <w:p>
      <w:pPr>
        <w:widowControl w:val="0"/>
        <w:wordWrap/>
        <w:adjustRightInd/>
        <w:snapToGrid/>
        <w:spacing w:beforeLines="100" w:afterLines="100" w:line="600" w:lineRule="exact"/>
        <w:ind w:left="0" w:leftChars="0" w:right="0" w:firstLine="0" w:firstLineChars="0"/>
        <w:jc w:val="center"/>
        <w:textAlignment w:val="auto"/>
        <w:outlineLvl w:val="9"/>
        <w:rPr>
          <w:rFonts w:hint="eastAsia" w:ascii="黑体" w:hAnsi="黑体" w:eastAsia="黑体" w:cs="黑体"/>
          <w:color w:val="000000"/>
          <w:w w:val="100"/>
          <w:sz w:val="40"/>
          <w:szCs w:val="40"/>
          <w:lang w:val="en-US" w:eastAsia="zh-CN"/>
        </w:rPr>
      </w:pPr>
      <w:r>
        <w:rPr>
          <w:rFonts w:hint="eastAsia" w:ascii="方正小标宋简体" w:hAnsi="方正小标宋简体" w:eastAsia="方正小标宋简体" w:cs="方正小标宋简体"/>
          <w:b w:val="0"/>
          <w:bCs/>
          <w:w w:val="100"/>
          <w:sz w:val="40"/>
          <w:szCs w:val="40"/>
          <w:lang w:val="en-US" w:eastAsia="zh-CN"/>
        </w:rPr>
        <w:t>荔城区集体建设用地基准地价使用</w:t>
      </w:r>
      <w:r>
        <w:rPr>
          <w:rFonts w:hint="default" w:ascii="方正小标宋简体" w:hAnsi="方正小标宋简体" w:eastAsia="方正小标宋简体" w:cs="方正小标宋简体"/>
          <w:b w:val="0"/>
          <w:bCs/>
          <w:w w:val="100"/>
          <w:sz w:val="40"/>
          <w:szCs w:val="40"/>
          <w:lang w:val="en-US" w:eastAsia="zh-CN"/>
        </w:rPr>
        <w:t>说明</w:t>
      </w:r>
    </w:p>
    <w:p>
      <w:pPr>
        <w:widowControl w:val="0"/>
        <w:wordWrap/>
        <w:adjustRightInd/>
        <w:snapToGrid/>
        <w:spacing w:before="0" w:after="0" w:line="590" w:lineRule="exact"/>
        <w:ind w:left="0" w:leftChars="0" w:right="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一、基准地价内涵</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基准地价是指：(1)估价期日：2021年1月1日；(2)土地开发程度：宗地红线外“五通”（即通路、通上水、通下水、通电、通讯）和红线内“一平”（即场地平整）；(3)容积率：商服用地2.5，宅基地2.5，工矿仓储用地1.0，公共管理与公共服务用地2.5；(4)土地使用年期：商服用地40年，工矿仓储用地50年，公共管理与公共服务用地50年、宅基地无年期限制设定条件下的均质区域的土地使用权平均价格。</w:t>
      </w:r>
    </w:p>
    <w:p>
      <w:pPr>
        <w:widowControl w:val="0"/>
        <w:wordWrap/>
        <w:adjustRightInd/>
        <w:snapToGrid/>
        <w:spacing w:before="0" w:after="0" w:line="590" w:lineRule="exact"/>
        <w:ind w:left="0" w:leftChars="0" w:right="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二、在宗地地价评估中应注意的事项</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基准地价是城镇各级土地或均质地域的商服、宅基地、工业等土地利用类型评估出来的单位面积的平均价格。而宗地价格是具体的某一宗地的土地使用权的价格，宗地价格还有出让底价、交易价、标定地价之分。基准地价并不代表宗地的具体价格，而是一定时期内某一区域的平均价格，具有一定的稳定性，利用其评估宗地地价，需要进行使用年期、容积率、估价期日等一系列因素的修正。</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2.加油、加气、充换电站用地按相应的商服用地级别基准地价的1.2倍进行评估测算，不进行容积率修正，若同一路段两侧级别不同按就高原则确定。</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3.仓储用地按其所对应的工业用地基准地价的1.3倍计算。</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4.公用设施用地、公园与绿地按其所对应的工业用地基准地价计算。</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5.不在本基准地价覆盖范围内的区域的用地价格，应以其邻近区位条件相当的区域基准地价进行比较修正后确定；本基准地价未涉及的用地类型的价格应以其近似的用地类型基准地价进行比较修正后确定。</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6.影响宗地地价的因素很复杂，在某些特别宗地受某些因素影响特别强烈而使宗地地价发生较大变化时，应对这些因素和其修正幅度做一些特别处理使之更符合实际情况。</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sectPr>
          <w:headerReference r:id="rId4" w:type="default"/>
          <w:footerReference r:id="rId5" w:type="default"/>
          <w:pgSz w:w="11906" w:h="16838"/>
          <w:pgMar w:top="1871" w:right="1587" w:bottom="1871" w:left="1587" w:header="851" w:footer="1417" w:gutter="0"/>
          <w:paperSrc w:first="0" w:other="0"/>
          <w:cols w:space="0" w:num="1"/>
          <w:docGrid w:type="lines" w:linePitch="319" w:charSpace="0"/>
        </w:sectPr>
      </w:pPr>
    </w:p>
    <w:p>
      <w:pPr>
        <w:pStyle w:val="2"/>
        <w:rPr>
          <w:rFonts w:hint="eastAsia"/>
          <w:lang w:val="en-US" w:eastAsia="zh-CN"/>
        </w:rPr>
      </w:pPr>
    </w:p>
    <w:tbl>
      <w:tblPr>
        <w:tblpPr w:leftFromText="181" w:rightFromText="181" w:vertAnchor="page" w:horzAnchor="page" w:tblpX="1648" w:tblpY="14415"/>
        <w:tblOverlap w:val="never"/>
        <w:tblW w:w="8844"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57" w:hRule="atLeast"/>
          <w:jc w:val="center"/>
        </w:trPr>
        <w:tc>
          <w:tcPr>
            <w:tcW w:w="8844" w:type="dxa"/>
            <w:tcBorders>
              <w:tl2br w:val="nil"/>
              <w:tr2bl w:val="nil"/>
            </w:tcBorders>
            <w:vAlign w:val="bottom"/>
          </w:tcPr>
          <w:p>
            <w:pPr>
              <w:widowControl w:val="0"/>
              <w:wordWrap/>
              <w:autoSpaceDE w:val="0"/>
              <w:autoSpaceDN w:val="0"/>
              <w:adjustRightInd/>
              <w:snapToGrid/>
              <w:spacing w:before="0" w:after="0" w:line="400" w:lineRule="exact"/>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莆田市荔城区人民政府办公室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2024年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p>
        </w:tc>
      </w:tr>
    </w:tbl>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sectPr>
      <w:footerReference r:id="rId6" w:type="default"/>
      <w:pgSz w:w="11906" w:h="16838"/>
      <w:pgMar w:top="1871" w:right="1587" w:bottom="1871" w:left="1587" w:header="851" w:footer="1417" w:gutter="0"/>
      <w:paperSrc w:first="0" w:oth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ESRI AMFM Electric">
    <w:altName w:val="Segoe UI Semilight"/>
    <w:panose1 w:val="02000400000000000000"/>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Pr>
    <w:r>
      <w:rPr>
        <w:rFonts w:ascii="等线" w:hAnsi="等线" w:eastAsia="等线" w:cs="黑体"/>
        <w:kern w:val="2"/>
        <w:sz w:val="18"/>
        <w:szCs w:val="18"/>
        <w:lang w:val="en-US" w:eastAsia="zh-CN" w:bidi="ar-SA"/>
      </w:rPr>
      <w:pict>
        <v:shape id="文本框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widowControl w:val="0"/>
                  <w:wordWrap/>
                  <w:adjustRightInd/>
                  <w:snapToGrid w:val="0"/>
                  <w:spacing w:before="0" w:after="0" w:line="240" w:lineRule="auto"/>
                  <w:ind w:left="420" w:leftChars="200" w:right="420" w:rightChars="20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22"/>
    <w:qFormat/>
    <w:uiPriority w:val="9"/>
    <w:pPr>
      <w:keepNext/>
      <w:keepLines/>
      <w:spacing w:before="480" w:after="80"/>
      <w:outlineLvl w:val="0"/>
    </w:pPr>
    <w:rPr>
      <w:rFonts w:ascii="等线 Light" w:hAnsi="等线 Light" w:eastAsia="等线 Light" w:cs="黑体"/>
      <w:color w:val="0F4760"/>
      <w:sz w:val="48"/>
      <w:szCs w:val="48"/>
    </w:rPr>
  </w:style>
  <w:style w:type="paragraph" w:styleId="4">
    <w:name w:val="heading 2"/>
    <w:basedOn w:val="1"/>
    <w:next w:val="1"/>
    <w:link w:val="23"/>
    <w:semiHidden/>
    <w:unhideWhenUsed/>
    <w:qFormat/>
    <w:uiPriority w:val="9"/>
    <w:pPr>
      <w:keepNext/>
      <w:keepLines/>
      <w:spacing w:before="160" w:after="80"/>
      <w:outlineLvl w:val="1"/>
    </w:pPr>
    <w:rPr>
      <w:rFonts w:ascii="等线 Light" w:hAnsi="等线 Light" w:eastAsia="等线 Light" w:cs="黑体"/>
      <w:color w:val="0F4760"/>
      <w:sz w:val="40"/>
      <w:szCs w:val="40"/>
    </w:rPr>
  </w:style>
  <w:style w:type="paragraph" w:styleId="5">
    <w:name w:val="heading 3"/>
    <w:basedOn w:val="1"/>
    <w:next w:val="1"/>
    <w:link w:val="24"/>
    <w:semiHidden/>
    <w:unhideWhenUsed/>
    <w:qFormat/>
    <w:uiPriority w:val="9"/>
    <w:pPr>
      <w:keepNext/>
      <w:keepLines/>
      <w:spacing w:before="160" w:after="80"/>
      <w:outlineLvl w:val="2"/>
    </w:pPr>
    <w:rPr>
      <w:rFonts w:ascii="等线 Light" w:hAnsi="等线 Light" w:eastAsia="等线 Light" w:cs="黑体"/>
      <w:color w:val="0F4760"/>
      <w:sz w:val="32"/>
      <w:szCs w:val="32"/>
    </w:rPr>
  </w:style>
  <w:style w:type="paragraph" w:styleId="6">
    <w:name w:val="heading 4"/>
    <w:basedOn w:val="1"/>
    <w:next w:val="1"/>
    <w:link w:val="25"/>
    <w:semiHidden/>
    <w:unhideWhenUsed/>
    <w:qFormat/>
    <w:uiPriority w:val="9"/>
    <w:pPr>
      <w:keepNext/>
      <w:keepLines/>
      <w:spacing w:before="80" w:after="40"/>
      <w:outlineLvl w:val="3"/>
    </w:pPr>
    <w:rPr>
      <w:rFonts w:cs="黑体"/>
      <w:color w:val="0F4760"/>
      <w:sz w:val="28"/>
      <w:szCs w:val="28"/>
    </w:rPr>
  </w:style>
  <w:style w:type="paragraph" w:styleId="7">
    <w:name w:val="heading 5"/>
    <w:basedOn w:val="1"/>
    <w:next w:val="1"/>
    <w:link w:val="26"/>
    <w:semiHidden/>
    <w:unhideWhenUsed/>
    <w:qFormat/>
    <w:uiPriority w:val="9"/>
    <w:pPr>
      <w:keepNext/>
      <w:keepLines/>
      <w:spacing w:before="80" w:after="40"/>
      <w:outlineLvl w:val="4"/>
    </w:pPr>
    <w:rPr>
      <w:rFonts w:cs="黑体"/>
      <w:color w:val="0F4760"/>
      <w:sz w:val="24"/>
      <w:szCs w:val="24"/>
    </w:rPr>
  </w:style>
  <w:style w:type="paragraph" w:styleId="8">
    <w:name w:val="heading 6"/>
    <w:basedOn w:val="1"/>
    <w:next w:val="1"/>
    <w:link w:val="27"/>
    <w:semiHidden/>
    <w:unhideWhenUsed/>
    <w:qFormat/>
    <w:uiPriority w:val="9"/>
    <w:pPr>
      <w:keepNext/>
      <w:keepLines/>
      <w:spacing w:before="40"/>
      <w:outlineLvl w:val="5"/>
    </w:pPr>
    <w:rPr>
      <w:rFonts w:cs="黑体"/>
      <w:b/>
      <w:bCs/>
      <w:color w:val="0F4760"/>
    </w:rPr>
  </w:style>
  <w:style w:type="paragraph" w:styleId="9">
    <w:name w:val="heading 7"/>
    <w:basedOn w:val="1"/>
    <w:next w:val="1"/>
    <w:link w:val="28"/>
    <w:semiHidden/>
    <w:unhideWhenUsed/>
    <w:qFormat/>
    <w:uiPriority w:val="9"/>
    <w:pPr>
      <w:keepNext/>
      <w:keepLines/>
      <w:spacing w:before="40"/>
      <w:outlineLvl w:val="6"/>
    </w:pPr>
    <w:rPr>
      <w:rFonts w:cs="黑体"/>
      <w:b/>
      <w:bCs/>
      <w:color w:val="565656"/>
    </w:rPr>
  </w:style>
  <w:style w:type="paragraph" w:styleId="10">
    <w:name w:val="heading 8"/>
    <w:basedOn w:val="1"/>
    <w:next w:val="1"/>
    <w:link w:val="29"/>
    <w:semiHidden/>
    <w:unhideWhenUsed/>
    <w:qFormat/>
    <w:uiPriority w:val="9"/>
    <w:pPr>
      <w:keepNext/>
      <w:keepLines/>
      <w:outlineLvl w:val="7"/>
    </w:pPr>
    <w:rPr>
      <w:rFonts w:cs="黑体"/>
      <w:color w:val="565656"/>
    </w:rPr>
  </w:style>
  <w:style w:type="paragraph" w:styleId="11">
    <w:name w:val="heading 9"/>
    <w:basedOn w:val="1"/>
    <w:next w:val="1"/>
    <w:link w:val="30"/>
    <w:semiHidden/>
    <w:unhideWhenUsed/>
    <w:qFormat/>
    <w:uiPriority w:val="9"/>
    <w:pPr>
      <w:keepNext/>
      <w:keepLines/>
      <w:outlineLvl w:val="8"/>
    </w:pPr>
    <w:rPr>
      <w:rFonts w:eastAsia="等线 Light" w:cs="黑体"/>
      <w:color w:val="565656"/>
    </w:rPr>
  </w:style>
  <w:style w:type="character" w:default="1" w:styleId="16">
    <w:name w:val="Default Paragraph Font"/>
    <w:semiHidden/>
    <w:unhideWhenUsed/>
    <w:uiPriority w:val="1"/>
  </w:style>
  <w:style w:type="paragraph" w:customStyle="1" w:styleId="2">
    <w:name w:val="Body Text First Indent 2"/>
    <w:basedOn w:val="1"/>
    <w:qFormat/>
    <w:uiPriority w:val="0"/>
    <w:pPr>
      <w:spacing w:line="360" w:lineRule="auto"/>
      <w:ind w:firstLine="420" w:firstLineChars="200"/>
    </w:pPr>
    <w:rPr>
      <w:rFonts w:eastAsia="宋体"/>
      <w:sz w:val="21"/>
    </w:rPr>
  </w:style>
  <w:style w:type="paragraph" w:styleId="12">
    <w:name w:val="footer"/>
    <w:basedOn w:val="1"/>
    <w:semiHidden/>
    <w:unhideWhenUsed/>
    <w:uiPriority w:val="99"/>
    <w:pPr>
      <w:tabs>
        <w:tab w:val="center" w:pos="4153"/>
        <w:tab w:val="right" w:pos="8306"/>
      </w:tabs>
      <w:snapToGrid w:val="0"/>
      <w:jc w:val="left"/>
    </w:pPr>
    <w:rPr>
      <w:sz w:val="18"/>
      <w:szCs w:val="18"/>
    </w:rPr>
  </w:style>
  <w:style w:type="paragraph" w:styleId="13">
    <w:name w:val="header"/>
    <w:basedOn w:val="1"/>
    <w:semiHidden/>
    <w:unhideWhenUsed/>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等线 Light" w:hAnsi="等线 Light" w:eastAsia="等线 Light" w:cs="黑体"/>
      <w:color w:val="565656"/>
      <w:spacing w:val="15"/>
      <w:sz w:val="28"/>
      <w:szCs w:val="28"/>
    </w:rPr>
  </w:style>
  <w:style w:type="paragraph" w:styleId="15">
    <w:name w:val="Title"/>
    <w:basedOn w:val="1"/>
    <w:link w:val="31"/>
    <w:qFormat/>
    <w:uiPriority w:val="10"/>
    <w:pPr>
      <w:spacing w:after="80"/>
      <w:contextualSpacing/>
      <w:jc w:val="center"/>
    </w:pPr>
    <w:rPr>
      <w:rFonts w:ascii="等线 Light" w:hAnsi="等线 Light" w:eastAsia="等线 Light" w:cs="黑体"/>
      <w:spacing w:val="-10"/>
      <w:kern w:val="28"/>
      <w:sz w:val="56"/>
      <w:szCs w:val="56"/>
    </w:rPr>
  </w:style>
  <w:style w:type="paragraph" w:customStyle="1" w:styleId="17">
    <w:name w:val="Quote"/>
    <w:basedOn w:val="1"/>
    <w:next w:val="1"/>
    <w:link w:val="33"/>
    <w:qFormat/>
    <w:uiPriority w:val="29"/>
    <w:pPr>
      <w:spacing w:before="160" w:after="160"/>
      <w:jc w:val="center"/>
    </w:pPr>
    <w:rPr>
      <w:i/>
      <w:iCs/>
      <w:color w:val="3F3F3F"/>
    </w:rPr>
  </w:style>
  <w:style w:type="paragraph" w:customStyle="1" w:styleId="18">
    <w:name w:val="List Paragraph"/>
    <w:basedOn w:val="1"/>
    <w:qFormat/>
    <w:uiPriority w:val="34"/>
    <w:pPr>
      <w:ind w:left="720"/>
      <w:contextualSpacing/>
    </w:pPr>
  </w:style>
  <w:style w:type="paragraph" w:customStyle="1" w:styleId="19">
    <w:name w:val="Intense Quote"/>
    <w:basedOn w:val="1"/>
    <w:next w:val="1"/>
    <w:link w:val="35"/>
    <w:qFormat/>
    <w:uiPriority w:val="30"/>
    <w:pPr>
      <w:pBdr>
        <w:top w:val="single" w:color="0F4761" w:sz="4" w:space="10"/>
        <w:bottom w:val="single" w:color="0F4761" w:sz="4" w:space="10"/>
      </w:pBdr>
      <w:spacing w:before="360" w:after="360"/>
      <w:ind w:left="864" w:right="864"/>
      <w:jc w:val="center"/>
    </w:pPr>
    <w:rPr>
      <w:i/>
      <w:iCs/>
      <w:color w:val="0F4760"/>
    </w:rPr>
  </w:style>
  <w:style w:type="paragraph" w:customStyle="1" w:styleId="20">
    <w:name w:val="地理段落"/>
    <w:basedOn w:val="21"/>
    <w:qFormat/>
    <w:uiPriority w:val="0"/>
    <w:pPr>
      <w:spacing w:line="440" w:lineRule="exact"/>
      <w:ind w:firstLine="560" w:firstLineChars="200"/>
      <w:jc w:val="both"/>
    </w:pPr>
    <w:rPr>
      <w:rFonts w:ascii="仿宋" w:hAnsi="仿宋" w:eastAsia="仿宋"/>
      <w:sz w:val="28"/>
    </w:rPr>
  </w:style>
  <w:style w:type="paragraph" w:customStyle="1" w:styleId="21">
    <w:name w:val="地理标题1"/>
    <w:basedOn w:val="15"/>
    <w:qFormat/>
    <w:uiPriority w:val="0"/>
    <w:pPr>
      <w:spacing w:before="0" w:after="0" w:line="480" w:lineRule="atLeast"/>
      <w:ind w:firstLine="629"/>
      <w:jc w:val="left"/>
      <w:outlineLvl w:val="9"/>
    </w:pPr>
    <w:rPr>
      <w:rFonts w:ascii="宋体" w:hAnsi="宋体" w:cs="Times New Roman"/>
      <w:sz w:val="30"/>
      <w:szCs w:val="20"/>
    </w:rPr>
  </w:style>
  <w:style w:type="character" w:customStyle="1" w:styleId="22">
    <w:name w:val="标题 1 字符"/>
    <w:basedOn w:val="16"/>
    <w:link w:val="3"/>
    <w:qFormat/>
    <w:uiPriority w:val="9"/>
    <w:rPr>
      <w:rFonts w:ascii="等线 Light" w:hAnsi="等线 Light" w:eastAsia="等线 Light" w:cs="黑体"/>
      <w:color w:val="0F4760"/>
      <w:sz w:val="48"/>
      <w:szCs w:val="48"/>
    </w:rPr>
  </w:style>
  <w:style w:type="character" w:customStyle="1" w:styleId="23">
    <w:name w:val="标题 2 字符"/>
    <w:basedOn w:val="16"/>
    <w:link w:val="4"/>
    <w:semiHidden/>
    <w:qFormat/>
    <w:uiPriority w:val="9"/>
    <w:rPr>
      <w:rFonts w:ascii="等线 Light" w:hAnsi="等线 Light" w:eastAsia="等线 Light" w:cs="黑体"/>
      <w:color w:val="0F4760"/>
      <w:sz w:val="40"/>
      <w:szCs w:val="40"/>
    </w:rPr>
  </w:style>
  <w:style w:type="character" w:customStyle="1" w:styleId="24">
    <w:name w:val="标题 3 字符"/>
    <w:basedOn w:val="16"/>
    <w:link w:val="5"/>
    <w:semiHidden/>
    <w:qFormat/>
    <w:uiPriority w:val="9"/>
    <w:rPr>
      <w:rFonts w:ascii="等线 Light" w:hAnsi="等线 Light" w:eastAsia="等线 Light" w:cs="黑体"/>
      <w:color w:val="0F4760"/>
      <w:sz w:val="32"/>
      <w:szCs w:val="32"/>
    </w:rPr>
  </w:style>
  <w:style w:type="character" w:customStyle="1" w:styleId="25">
    <w:name w:val="标题 4 字符"/>
    <w:basedOn w:val="16"/>
    <w:link w:val="6"/>
    <w:semiHidden/>
    <w:qFormat/>
    <w:uiPriority w:val="9"/>
    <w:rPr>
      <w:rFonts w:cs="黑体"/>
      <w:color w:val="0F4760"/>
      <w:sz w:val="28"/>
      <w:szCs w:val="28"/>
    </w:rPr>
  </w:style>
  <w:style w:type="character" w:customStyle="1" w:styleId="26">
    <w:name w:val="标题 5 字符"/>
    <w:basedOn w:val="16"/>
    <w:link w:val="7"/>
    <w:semiHidden/>
    <w:qFormat/>
    <w:uiPriority w:val="9"/>
    <w:rPr>
      <w:rFonts w:cs="黑体"/>
      <w:color w:val="0F4760"/>
      <w:sz w:val="24"/>
      <w:szCs w:val="24"/>
    </w:rPr>
  </w:style>
  <w:style w:type="character" w:customStyle="1" w:styleId="27">
    <w:name w:val="标题 6 字符"/>
    <w:basedOn w:val="16"/>
    <w:link w:val="8"/>
    <w:semiHidden/>
    <w:qFormat/>
    <w:uiPriority w:val="9"/>
    <w:rPr>
      <w:rFonts w:cs="黑体"/>
      <w:b/>
      <w:bCs/>
      <w:color w:val="0F4760"/>
    </w:rPr>
  </w:style>
  <w:style w:type="character" w:customStyle="1" w:styleId="28">
    <w:name w:val="标题 7 字符"/>
    <w:basedOn w:val="16"/>
    <w:link w:val="9"/>
    <w:semiHidden/>
    <w:qFormat/>
    <w:uiPriority w:val="9"/>
    <w:rPr>
      <w:rFonts w:cs="黑体"/>
      <w:b/>
      <w:bCs/>
      <w:color w:val="565656"/>
    </w:rPr>
  </w:style>
  <w:style w:type="character" w:customStyle="1" w:styleId="29">
    <w:name w:val="标题 8 字符"/>
    <w:basedOn w:val="16"/>
    <w:link w:val="10"/>
    <w:semiHidden/>
    <w:qFormat/>
    <w:uiPriority w:val="9"/>
    <w:rPr>
      <w:rFonts w:cs="黑体"/>
      <w:color w:val="565656"/>
    </w:rPr>
  </w:style>
  <w:style w:type="character" w:customStyle="1" w:styleId="30">
    <w:name w:val="标题 9 字符"/>
    <w:basedOn w:val="16"/>
    <w:link w:val="11"/>
    <w:semiHidden/>
    <w:qFormat/>
    <w:uiPriority w:val="9"/>
    <w:rPr>
      <w:rFonts w:eastAsia="等线 Light" w:cs="黑体"/>
      <w:color w:val="565656"/>
    </w:rPr>
  </w:style>
  <w:style w:type="character" w:customStyle="1" w:styleId="31">
    <w:name w:val="标题 字符"/>
    <w:basedOn w:val="16"/>
    <w:link w:val="15"/>
    <w:uiPriority w:val="10"/>
    <w:rPr>
      <w:rFonts w:ascii="等线 Light" w:hAnsi="等线 Light" w:eastAsia="等线 Light" w:cs="黑体"/>
      <w:spacing w:val="-10"/>
      <w:kern w:val="28"/>
      <w:sz w:val="56"/>
      <w:szCs w:val="56"/>
    </w:rPr>
  </w:style>
  <w:style w:type="character" w:customStyle="1" w:styleId="32">
    <w:name w:val="副标题 字符"/>
    <w:basedOn w:val="16"/>
    <w:link w:val="14"/>
    <w:qFormat/>
    <w:uiPriority w:val="11"/>
    <w:rPr>
      <w:rFonts w:ascii="等线 Light" w:hAnsi="等线 Light" w:eastAsia="等线 Light" w:cs="黑体"/>
      <w:color w:val="565656"/>
      <w:spacing w:val="15"/>
      <w:sz w:val="28"/>
      <w:szCs w:val="28"/>
    </w:rPr>
  </w:style>
  <w:style w:type="character" w:customStyle="1" w:styleId="33">
    <w:name w:val="引用 字符"/>
    <w:basedOn w:val="16"/>
    <w:link w:val="17"/>
    <w:uiPriority w:val="29"/>
    <w:rPr>
      <w:i/>
      <w:iCs/>
      <w:color w:val="3F3F3F"/>
    </w:rPr>
  </w:style>
  <w:style w:type="character" w:customStyle="1" w:styleId="34">
    <w:name w:val="Intense Emphasis"/>
    <w:basedOn w:val="16"/>
    <w:qFormat/>
    <w:uiPriority w:val="21"/>
    <w:rPr>
      <w:i/>
      <w:iCs/>
      <w:color w:val="0F4760"/>
    </w:rPr>
  </w:style>
  <w:style w:type="character" w:customStyle="1" w:styleId="35">
    <w:name w:val="明显引用 字符"/>
    <w:basedOn w:val="16"/>
    <w:link w:val="19"/>
    <w:uiPriority w:val="30"/>
    <w:rPr>
      <w:i/>
      <w:iCs/>
      <w:color w:val="0F4760"/>
    </w:rPr>
  </w:style>
  <w:style w:type="character" w:customStyle="1" w:styleId="36">
    <w:name w:val="Intense Reference"/>
    <w:basedOn w:val="16"/>
    <w:qFormat/>
    <w:uiPriority w:val="32"/>
    <w:rPr>
      <w:b/>
      <w:bCs/>
      <w:smallCaps/>
      <w:color w:val="0F4760"/>
      <w:spacing w:val="5"/>
    </w:rPr>
  </w:style>
  <w:style w:type="character" w:customStyle="1" w:styleId="37">
    <w:name w:val="font21"/>
    <w:basedOn w:val="16"/>
    <w:qFormat/>
    <w:uiPriority w:val="0"/>
    <w:rPr>
      <w:rFonts w:hint="eastAsia" w:ascii="仿宋" w:hAnsi="仿宋" w:eastAsia="仿宋" w:cs="仿宋"/>
      <w:color w:val="000000"/>
      <w:sz w:val="24"/>
      <w:szCs w:val="24"/>
      <w:u w:val="none"/>
    </w:rPr>
  </w:style>
  <w:style w:type="character" w:customStyle="1" w:styleId="38">
    <w:name w:val="font11"/>
    <w:basedOn w:val="16"/>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Words>
  <Characters>169</Characters>
  <Lines>1</Lines>
  <Paragraphs>1</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2024-04-10T05:53:00Z</dcterms:created>
  <dc:creator>chansingon</dc:creator>
  <cp:lastModifiedBy>Administrator</cp:lastModifiedBy>
  <cp:lastPrinted>2024-05-07T08:04:47Z</cp:lastPrinted>
  <dcterms:modified xsi:type="dcterms:W3CDTF">2024-05-07T08:05:11Z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B23FD40985464CF2880838E5AC498DE7_12</vt:lpwstr>
  </property>
</Properties>
</file>