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before="0" w:after="0" w:line="590" w:lineRule="exact"/>
        <w:ind w:right="0"/>
        <w:jc w:val="both"/>
        <w:textAlignment w:val="auto"/>
        <w:outlineLvl w:val="9"/>
        <w:rPr>
          <w:rFonts w:hint="eastAsia"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1</w:t>
      </w:r>
    </w:p>
    <w:p>
      <w:pPr>
        <w:widowControl w:val="0"/>
        <w:wordWrap/>
        <w:adjustRightInd/>
        <w:snapToGrid/>
        <w:spacing w:beforeLines="50" w:after="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荔城区集体建设用地级别范围表</w:t>
      </w:r>
    </w:p>
    <w:p>
      <w:pPr>
        <w:spacing w:afterLines="50" w:line="50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（商服用地、宅基地）</w:t>
      </w:r>
    </w:p>
    <w:p>
      <w:pPr>
        <w:widowControl w:val="0"/>
        <w:wordWrap/>
        <w:adjustRightInd/>
        <w:snapToGrid/>
        <w:spacing w:before="0" w:after="0" w:line="2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9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blHeader/>
        </w:trPr>
        <w:tc>
          <w:tcPr>
            <w:tcW w:w="1176"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区域</w:t>
            </w:r>
          </w:p>
        </w:tc>
        <w:tc>
          <w:tcPr>
            <w:tcW w:w="792"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级别</w:t>
            </w:r>
          </w:p>
        </w:tc>
        <w:tc>
          <w:tcPr>
            <w:tcW w:w="7035" w:type="dxa"/>
            <w:vAlign w:val="center"/>
          </w:tcPr>
          <w:p>
            <w:pPr>
              <w:widowControl/>
              <w:wordWrap/>
              <w:adjustRightInd/>
              <w:snapToGrid/>
              <w:spacing w:before="0" w:after="0" w:line="260" w:lineRule="exact"/>
              <w:ind w:left="0" w:leftChars="0" w:right="0" w:firstLine="0" w:firstLineChars="0"/>
              <w:jc w:val="center"/>
              <w:textAlignment w:val="auto"/>
              <w:outlineLvl w:val="9"/>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中心城区</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八二一街—莆阳路—与城厢区交界处—西门小区南侧道路—胜利北街—东园东路—八二一街。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延寿街—与城厢区交界处—东圳路—延寿街。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分布在二级地外围，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荔园路—与城厢区交界处—延寿溪—名成佳园北侧—学园街—八二一北街—荔园路。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分布在三级地外围，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荔园路—迎宾大道—木兰溪—与城厢区交界处—莆田二中南侧—荔城北大道—荔园路。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分布在四级地外围，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莆田学院（紫宵校区）—与涵江区交界处—荔涵大道—德信商业广场东侧—九华大道—少林南街—城涵大道—立西线—迎宾大道外侧约300米—木兰溪—迎宾大道—木兰大道—与城厢区交界处—体育公园北侧—紫宵路北侧约100米—莆田学院（紫宵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除以上五级范围外的其他区域。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黄石镇</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镇中心区：兴美街—重兴南街东侧小路—晴岚路—石兴街西侧—隆兴街西侧—莆兴东路—东井北街—丰石东路北侧—兴美街；</w:t>
            </w:r>
          </w:p>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高铁新城片区：荔港大道—与秀屿区交界处—福厦铁路—谷城西路—荔港大道。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涵港大道—谷城东路—重兴南街—石黄线—梅山路—荔港大道—与秀屿区交界处—与新度镇交界处—沈海高速—林芝路南侧约300米—与新度镇交界处—荔港大道—沈海高速—莆兴东路—涵港大道。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分布在一级、二级和中心城区范围外的行政村：华东村、华中村、井后村、和平村、金山村、徐厝村、东埭村、惠下村、天马村、沙堤村、凤山村、定庄村、瑶台村、横塘村、沙坂村、澄瀛村。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除以上三级范围外的其他区域。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西天尾镇（除中心城区外）</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分布在中心城区范围外的行政村：林峰村、渭阳村、后埔村、后卓村、溪白村。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新度镇（除中心城区外）</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分布在中心城区范围外的行政村：厝柄村、蒲坂村、东郊村、下坂村、善乡村、沟尾村、龙头村、凌厝村、东宋村、东埔余村、桂林村、大坂村、青垞村、沟口村、下横山村。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w:t>
            </w: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分布在北高镇中心区，东至北高镇政府、凤仙南街东侧，南至兴湖西路南侧、莆炎高速以北的笏埭线，西至北高市场，北至尚德西路北侧、北高卫生院。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分布在一级地范围外的行政村：岱峰村、福岭村、北高村、坑园村、院后村、呈山村。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1176" w:type="dxa"/>
            <w:vMerge w:val="continue"/>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p>
        </w:tc>
        <w:tc>
          <w:tcPr>
            <w:tcW w:w="792" w:type="dxa"/>
            <w:vAlign w:val="center"/>
          </w:tcPr>
          <w:p>
            <w:pPr>
              <w:widowControl w:val="0"/>
              <w:wordWrap/>
              <w:adjustRightInd/>
              <w:snapToGrid/>
              <w:spacing w:before="0" w:after="0" w:line="260" w:lineRule="exact"/>
              <w:ind w:left="0" w:leftChars="0" w:right="0" w:firstLine="0" w:firstLineChars="0"/>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val="0"/>
              <w:wordWrap/>
              <w:adjustRightInd/>
              <w:snapToGrid/>
              <w:spacing w:before="0" w:after="0" w:line="260" w:lineRule="exact"/>
              <w:ind w:left="0" w:leftChars="0" w:right="0" w:firstLine="0" w:firstLineChars="0"/>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除以上两级范围外的其他区域。</w:t>
            </w:r>
          </w:p>
        </w:tc>
      </w:tr>
    </w:tbl>
    <w:p>
      <w:pPr>
        <w:widowControl w:val="0"/>
        <w:wordWrap/>
        <w:adjustRightInd/>
        <w:snapToGrid/>
        <w:spacing w:before="0" w:afterLines="5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荔城区集体建设用地级别范围表（工业用地）</w:t>
      </w: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9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176"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区域</w:t>
            </w:r>
          </w:p>
        </w:tc>
        <w:tc>
          <w:tcPr>
            <w:tcW w:w="792"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级别</w:t>
            </w:r>
          </w:p>
        </w:tc>
        <w:tc>
          <w:tcPr>
            <w:tcW w:w="7035" w:type="dxa"/>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中心城区</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八二一街—莆阳路—与城厢区交界处—东园东路—八二一街。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分布在一级地外围，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延寿街—东梅路—荔园路—下黄社区北侧河流—学园街—八二一北街—延寿街。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分布在二级地外围，</w:t>
            </w:r>
            <w:r>
              <w:rPr>
                <w:rFonts w:hint="eastAsia" w:ascii="仿宋_GB2312" w:hAnsi="仿宋_GB2312" w:eastAsia="仿宋_GB2312" w:cs="仿宋_GB2312"/>
                <w:color w:val="000000"/>
                <w:kern w:val="0"/>
                <w:sz w:val="24"/>
                <w:szCs w:val="24"/>
              </w:rPr>
              <w:t>即：</w:t>
            </w:r>
            <w:r>
              <w:rPr>
                <w:rFonts w:hint="eastAsia" w:ascii="仿宋_GB2312" w:hAnsi="仿宋_GB2312" w:eastAsia="仿宋_GB2312" w:cs="仿宋_GB2312"/>
                <w:kern w:val="0"/>
                <w:sz w:val="24"/>
                <w:szCs w:val="24"/>
              </w:rPr>
              <w:t>荔园路—迎宾大道—木兰溪—与城厢区交界处—莆田二中南侧—荔城北大道北侧约200米—荔园路。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除以上三级范围外的其他区域。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restart"/>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黄石镇</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南洋东大道—道山街—谷城东路—重兴南街—石黄线—梅山路—荔港大道—谷城西路—沈海高速—丰石路北侧约100米—南洋东大道。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Merge w:val="continue"/>
            <w:vAlign w:val="center"/>
          </w:tcPr>
          <w:p>
            <w:pPr>
              <w:widowControl/>
              <w:jc w:val="left"/>
              <w:rPr>
                <w:rFonts w:hint="eastAsia" w:ascii="仿宋_GB2312" w:hAnsi="仿宋_GB2312" w:eastAsia="仿宋_GB2312" w:cs="仿宋_GB2312"/>
                <w:kern w:val="0"/>
                <w:sz w:val="24"/>
                <w:szCs w:val="24"/>
              </w:rPr>
            </w:pP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除一级范围外的其他区域。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西天尾镇（除中心城区外）</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除中心城区范围外的区域。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新度镇（除中心城区外）</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除中心城区范围外的区域。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6"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w:t>
            </w:r>
          </w:p>
        </w:tc>
        <w:tc>
          <w:tcPr>
            <w:tcW w:w="792"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w:t>
            </w:r>
          </w:p>
        </w:tc>
        <w:tc>
          <w:tcPr>
            <w:tcW w:w="7035"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北高镇全域。</w:t>
            </w:r>
          </w:p>
        </w:tc>
      </w:tr>
    </w:tbl>
    <w:p>
      <w:pPr>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24"/>
          <w:szCs w:val="24"/>
          <w:lang w:val="en-US" w:eastAsia="zh-CN"/>
        </w:rPr>
        <w:br w:type="page"/>
      </w: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2</w:t>
      </w:r>
    </w:p>
    <w:p>
      <w:pPr>
        <w:widowControl w:val="0"/>
        <w:wordWrap/>
        <w:adjustRightInd/>
        <w:snapToGrid/>
        <w:spacing w:beforeLines="100" w:afterLines="10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val="en-US" w:eastAsia="zh-CN"/>
        </w:rPr>
        <w:t>荔城区集体建设用地基准地价表（商服用地）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Style w:val="16"/>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4"/>
        <w:gridCol w:w="894"/>
        <w:gridCol w:w="1438"/>
        <w:gridCol w:w="1262"/>
        <w:gridCol w:w="1138"/>
        <w:gridCol w:w="898"/>
        <w:gridCol w:w="1065"/>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kern w:val="0"/>
                <w:sz w:val="28"/>
                <w:szCs w:val="28"/>
                <w:u w:val="none"/>
                <w:lang w:val="en-US" w:eastAsia="zh-CN"/>
              </w:rPr>
            </w:pPr>
            <w:r>
              <w:rPr>
                <w:rFonts w:hint="eastAsia" w:ascii="黑体" w:hAnsi="黑体" w:eastAsia="黑体" w:cs="黑体"/>
                <w:b w:val="0"/>
                <w:bCs w:val="0"/>
                <w:i w:val="0"/>
                <w:iCs w:val="0"/>
                <w:color w:val="000000"/>
                <w:kern w:val="0"/>
                <w:sz w:val="28"/>
                <w:szCs w:val="28"/>
                <w:u w:val="none"/>
                <w:lang w:val="en-US" w:eastAsia="zh-CN"/>
              </w:rPr>
              <w:t>土地</w:t>
            </w:r>
          </w:p>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级别</w:t>
            </w:r>
          </w:p>
        </w:tc>
        <w:tc>
          <w:tcPr>
            <w:tcW w:w="5801" w:type="dxa"/>
            <w:gridSpan w:val="5"/>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992" w:type="dxa"/>
            <w:vMerge w:val="restart"/>
            <w:tcBorders>
              <w:top w:val="single" w:color="000000" w:sz="4" w:space="0"/>
              <w:left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kern w:val="0"/>
                <w:sz w:val="28"/>
                <w:szCs w:val="28"/>
                <w:u w:val="none"/>
                <w:lang w:val="en-US" w:eastAsia="zh-CN"/>
              </w:rPr>
            </w:pPr>
            <w:r>
              <w:rPr>
                <w:rFonts w:hint="eastAsia" w:ascii="黑体" w:hAnsi="黑体" w:eastAsia="黑体" w:cs="黑体"/>
                <w:b w:val="0"/>
                <w:bCs w:val="0"/>
                <w:i w:val="0"/>
                <w:iCs w:val="0"/>
                <w:color w:val="000000"/>
                <w:kern w:val="0"/>
                <w:sz w:val="28"/>
                <w:szCs w:val="28"/>
                <w:u w:val="none"/>
                <w:lang w:val="en-US" w:eastAsia="zh-CN"/>
              </w:rPr>
              <w:t>修正</w:t>
            </w:r>
          </w:p>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零售商业、批发市场用地</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餐饮、旅馆用地</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商务金融用地</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娱乐用地</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30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其他商服用地</w:t>
            </w:r>
          </w:p>
        </w:tc>
        <w:tc>
          <w:tcPr>
            <w:tcW w:w="992" w:type="dxa"/>
            <w:vMerge w:val="continue"/>
            <w:tcBorders>
              <w:left w:val="single" w:color="000000" w:sz="4" w:space="0"/>
              <w:right w:val="single" w:color="000000" w:sz="4" w:space="0"/>
            </w:tcBorders>
            <w:vAlign w:val="center"/>
          </w:tcPr>
          <w:p>
            <w:pPr>
              <w:wordWrap/>
              <w:adjustRightInd/>
              <w:snapToGrid/>
              <w:spacing w:before="0" w:after="0" w:line="30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中心城区</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5143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3086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2726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2573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2880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4228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2537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2241</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2115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2369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3318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1991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1758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1659</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1859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四级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2485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1491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1317</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1244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1392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五级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1845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1107</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978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923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1034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六级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1370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822</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726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686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767</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黄石镇</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1883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1130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998</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942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1055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1390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834</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737</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696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779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1043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626</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552</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522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584</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四级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818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491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西天尾镇（除中心城区外）</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1055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633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560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528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793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新度镇（除中心城区外）</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1068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641</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566</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534</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805</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483</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北高镇</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一级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853</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二级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670</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三级</w:t>
            </w:r>
          </w:p>
        </w:tc>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538</w:t>
            </w:r>
          </w:p>
        </w:tc>
        <w:tc>
          <w:tcPr>
            <w:tcW w:w="1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±15%</w:t>
            </w:r>
          </w:p>
        </w:tc>
      </w:tr>
    </w:tbl>
    <w:p>
      <w:pPr>
        <w:spacing w:afterLines="50" w:line="50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lang w:val="en-US" w:eastAsia="zh-CN"/>
        </w:rPr>
        <w:t>荔城区集体建设用地基准地价表（宅基地）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Style w:val="16"/>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5"/>
        <w:gridCol w:w="1522"/>
        <w:gridCol w:w="1522"/>
        <w:gridCol w:w="1523"/>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5" w:type="dxa"/>
            <w:vMerge w:val="restart"/>
            <w:tcBorders>
              <w:top w:val="single" w:color="000000" w:sz="8" w:space="0"/>
              <w:left w:val="single" w:color="000000" w:sz="8" w:space="0"/>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1522" w:type="dxa"/>
            <w:vMerge w:val="restart"/>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土地级别</w:t>
            </w:r>
          </w:p>
        </w:tc>
        <w:tc>
          <w:tcPr>
            <w:tcW w:w="3045" w:type="dxa"/>
            <w:gridSpan w:val="2"/>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基准地价</w:t>
            </w:r>
          </w:p>
        </w:tc>
        <w:tc>
          <w:tcPr>
            <w:tcW w:w="1522" w:type="dxa"/>
            <w:vMerge w:val="restart"/>
            <w:tcBorders>
              <w:top w:val="single" w:color="000000" w:sz="8" w:space="0"/>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5" w:type="dxa"/>
            <w:vMerge w:val="continue"/>
            <w:tcBorders>
              <w:top w:val="single" w:color="000000" w:sz="8" w:space="0"/>
              <w:left w:val="single" w:color="000000" w:sz="8" w:space="0"/>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522" w:type="dxa"/>
            <w:vMerge w:val="continue"/>
            <w:tcBorders>
              <w:top w:val="single" w:color="000000" w:sz="8" w:space="0"/>
              <w:left w:val="nil"/>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楼面地价</w:t>
            </w:r>
          </w:p>
        </w:tc>
        <w:tc>
          <w:tcPr>
            <w:tcW w:w="1523" w:type="dxa"/>
            <w:tcBorders>
              <w:top w:val="nil"/>
              <w:left w:val="nil"/>
              <w:bottom w:val="single" w:color="000000" w:sz="8" w:space="0"/>
              <w:right w:val="single" w:color="000000" w:sz="8" w:space="0"/>
            </w:tcBorders>
            <w:vAlign w:val="center"/>
          </w:tcPr>
          <w:p>
            <w:pPr>
              <w:widowControl/>
              <w:wordWrap/>
              <w:adjustRightInd/>
              <w:snapToGrid/>
              <w:spacing w:before="0" w:after="0" w:line="36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1522" w:type="dxa"/>
            <w:vMerge w:val="continue"/>
            <w:tcBorders>
              <w:top w:val="single" w:color="000000" w:sz="8" w:space="0"/>
              <w:left w:val="nil"/>
              <w:bottom w:val="single" w:color="000000" w:sz="8" w:space="0"/>
              <w:right w:val="single" w:color="000000" w:sz="8" w:space="0"/>
            </w:tcBorders>
            <w:vAlign w:val="center"/>
          </w:tcPr>
          <w:p>
            <w:pPr>
              <w:wordWrap/>
              <w:adjustRightInd/>
              <w:snapToGrid/>
              <w:spacing w:before="0" w:after="0" w:line="36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755" w:type="dxa"/>
            <w:vMerge w:val="restart"/>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1827</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4568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1485</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3713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1181</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2953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897</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2243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五级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672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1680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六级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501</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1253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restart"/>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624</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1560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1180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905</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nil"/>
              <w:left w:val="single" w:color="000000" w:sz="8" w:space="0"/>
              <w:bottom w:val="single" w:color="auto" w:sz="4"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289</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723</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西天尾镇</w:t>
            </w:r>
          </w:p>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（除中心城区外）</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367</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918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279</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698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新度镇</w:t>
            </w:r>
          </w:p>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（除中心城区外）</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372</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930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284</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710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522"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303</w:t>
            </w:r>
          </w:p>
        </w:tc>
        <w:tc>
          <w:tcPr>
            <w:tcW w:w="1523" w:type="dxa"/>
            <w:tcBorders>
              <w:top w:val="single" w:color="000000" w:sz="8" w:space="0"/>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758</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240</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600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522" w:type="dxa"/>
            <w:tcBorders>
              <w:top w:val="nil"/>
              <w:left w:val="single" w:color="auto" w:sz="4"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522"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192</w:t>
            </w:r>
          </w:p>
        </w:tc>
        <w:tc>
          <w:tcPr>
            <w:tcW w:w="1523" w:type="dxa"/>
            <w:tcBorders>
              <w:top w:val="nil"/>
              <w:left w:val="single" w:color="000000" w:sz="8" w:space="0"/>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1522" w:type="dxa"/>
            <w:tcBorders>
              <w:top w:val="nil"/>
              <w:left w:val="nil"/>
              <w:bottom w:val="single" w:color="000000" w:sz="8" w:space="0"/>
              <w:right w:val="single" w:color="000000" w:sz="8" w:space="0"/>
            </w:tcBorders>
            <w:vAlign w:val="center"/>
          </w:tcPr>
          <w:p>
            <w:pPr>
              <w:widowControl w:val="0"/>
              <w:wordWrap/>
              <w:adjustRightInd/>
              <w:snapToGrid/>
              <w:spacing w:before="0" w:after="0" w:line="36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bl>
    <w:p>
      <w:pPr>
        <w:widowControl w:val="0"/>
        <w:wordWrap/>
        <w:adjustRightInd/>
        <w:snapToGrid/>
        <w:spacing w:before="0" w:after="0" w:line="360" w:lineRule="exact"/>
        <w:ind w:left="0" w:leftChars="0" w:right="0" w:firstLine="0" w:firstLineChars="0"/>
        <w:jc w:val="left"/>
        <w:outlineLvl w:val="9"/>
        <w:rPr>
          <w:rFonts w:hint="eastAsia" w:ascii="仿宋_GB2312" w:hAnsi="仿宋_GB2312" w:eastAsia="仿宋_GB2312" w:cs="仿宋_GB2312"/>
          <w:sz w:val="28"/>
          <w:szCs w:val="28"/>
        </w:rPr>
      </w:pPr>
    </w:p>
    <w:p>
      <w:pPr>
        <w:spacing w:afterLines="50" w:line="500" w:lineRule="exact"/>
        <w:jc w:val="center"/>
        <w:rPr>
          <w:rFonts w:hint="eastAsia" w:ascii="方正小标宋简体" w:hAnsi="方正小标宋简体" w:eastAsia="方正小标宋简体" w:cs="方正小标宋简体"/>
          <w:b w:val="0"/>
          <w:bCs/>
          <w:sz w:val="40"/>
          <w:szCs w:val="40"/>
        </w:rPr>
      </w:pPr>
      <w:r>
        <w:rPr>
          <w:b/>
          <w:szCs w:val="28"/>
        </w:rPr>
        <w:br w:type="page"/>
      </w:r>
      <w:r>
        <w:rPr>
          <w:rFonts w:hint="eastAsia" w:ascii="方正小标宋简体" w:hAnsi="方正小标宋简体" w:eastAsia="方正小标宋简体" w:cs="方正小标宋简体"/>
          <w:b w:val="0"/>
          <w:bCs/>
          <w:sz w:val="40"/>
          <w:szCs w:val="40"/>
          <w:lang w:val="en-US" w:eastAsia="zh-CN"/>
        </w:rPr>
        <w:t>荔城区集体建设用地基准地价表（工业用地）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单位：元/㎡</w:t>
      </w:r>
    </w:p>
    <w:tbl>
      <w:tblPr>
        <w:tblStyle w:val="16"/>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5"/>
        <w:gridCol w:w="1773"/>
        <w:gridCol w:w="1773"/>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9"/>
                <w:rFonts w:hint="eastAsia" w:ascii="黑体" w:hAnsi="黑体" w:eastAsia="黑体" w:cs="黑体"/>
                <w:b w:val="0"/>
                <w:bCs w:val="0"/>
                <w:sz w:val="28"/>
                <w:szCs w:val="28"/>
                <w:lang w:val="en-US" w:eastAsia="zh-CN"/>
              </w:rPr>
              <w:t>区域</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9"/>
                <w:rFonts w:hint="eastAsia" w:ascii="黑体" w:hAnsi="黑体" w:eastAsia="黑体" w:cs="黑体"/>
                <w:b w:val="0"/>
                <w:bCs w:val="0"/>
                <w:sz w:val="28"/>
                <w:szCs w:val="28"/>
                <w:lang w:val="en-US" w:eastAsia="zh-CN"/>
              </w:rPr>
              <w:t>土地级别</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i w:val="0"/>
                <w:iCs w:val="0"/>
                <w:color w:val="000000"/>
                <w:sz w:val="28"/>
                <w:szCs w:val="28"/>
                <w:u w:val="none"/>
              </w:rPr>
            </w:pPr>
            <w:r>
              <w:rPr>
                <w:rStyle w:val="39"/>
                <w:rFonts w:hint="eastAsia" w:ascii="黑体" w:hAnsi="黑体" w:eastAsia="黑体" w:cs="黑体"/>
                <w:b w:val="0"/>
                <w:bCs w:val="0"/>
                <w:sz w:val="28"/>
                <w:szCs w:val="28"/>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690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570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465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375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390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西天尾镇（除中心城区外）</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新度镇（除中心城区外）</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295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5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245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40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±12%</w:t>
            </w:r>
          </w:p>
        </w:tc>
      </w:tr>
    </w:tbl>
    <w:p>
      <w:pPr>
        <w:rPr>
          <w:rFonts w:hint="eastAsia" w:ascii="方正小标宋简体" w:hAnsi="方正小标宋简体" w:eastAsia="方正小标宋简体" w:cs="方正小标宋简体"/>
          <w:b w:val="0"/>
          <w:bCs/>
          <w:sz w:val="40"/>
          <w:szCs w:val="40"/>
        </w:r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br w:type="page"/>
      </w:r>
      <w:r>
        <w:rPr>
          <w:rFonts w:hint="eastAsia" w:ascii="方正小标宋简体" w:hAnsi="方正小标宋简体" w:eastAsia="方正小标宋简体" w:cs="方正小标宋简体"/>
          <w:b w:val="0"/>
          <w:bCs/>
          <w:sz w:val="40"/>
          <w:szCs w:val="40"/>
        </w:rPr>
        <w:t>荔城区集体建设用地基准地价表</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（公共管理与公共服务用地）</w:t>
      </w:r>
    </w:p>
    <w:p>
      <w:pPr>
        <w:widowControl w:val="0"/>
        <w:wordWrap/>
        <w:adjustRightInd/>
        <w:snapToGrid/>
        <w:spacing w:beforeLines="50" w:after="0" w:line="500" w:lineRule="exact"/>
        <w:ind w:left="0" w:leftChars="0" w:right="0" w:firstLine="0" w:firstLineChars="0"/>
        <w:jc w:val="right"/>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单位：元/</w:t>
      </w:r>
      <w:r>
        <w:rPr>
          <w:rFonts w:hint="eastAsia" w:ascii="仿宋_GB2312" w:hAnsi="仿宋_GB2312" w:eastAsia="仿宋_GB2312" w:cs="仿宋_GB2312"/>
          <w:bCs/>
          <w:sz w:val="28"/>
          <w:szCs w:val="28"/>
        </w:rPr>
        <w:t>㎡</w:t>
      </w:r>
    </w:p>
    <w:tbl>
      <w:tblPr>
        <w:tblStyle w:val="16"/>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4"/>
        <w:gridCol w:w="946"/>
        <w:gridCol w:w="1374"/>
        <w:gridCol w:w="3766"/>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区域</w:t>
            </w: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土地级别</w:t>
            </w:r>
          </w:p>
        </w:tc>
        <w:tc>
          <w:tcPr>
            <w:tcW w:w="514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地面地价</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修正幅度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c>
          <w:tcPr>
            <w:tcW w:w="137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新闻出版用地</w:t>
            </w:r>
          </w:p>
        </w:tc>
        <w:tc>
          <w:tcPr>
            <w:tcW w:w="376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textAlignment w:val="center"/>
              <w:outlineLvl w:val="9"/>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rPr>
              <w:t>教育、科研、医疗卫生、社会福利、文化设施、体育用地</w:t>
            </w: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before="0" w:after="0" w:line="320" w:lineRule="exact"/>
              <w:ind w:left="0" w:leftChars="0" w:right="0" w:firstLine="0" w:firstLineChars="0"/>
              <w:jc w:val="center"/>
              <w:outlineLvl w:val="9"/>
              <w:rPr>
                <w:rFonts w:hint="eastAsia" w:ascii="黑体" w:hAnsi="黑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中心城区</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2880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2058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2369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1692</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1859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1328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1392</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995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五级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1034</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738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六级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767</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548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黄石镇</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1055</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753</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779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557</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584</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470</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四级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368</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西天尾镇（除中心城区外）</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591</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474</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357</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新度镇（除中心城区外）</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599</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363</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北高镇</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一级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二级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320" w:lineRule="exact"/>
              <w:ind w:left="0" w:leftChars="0" w:right="0" w:firstLine="0" w:firstLineChars="0"/>
              <w:jc w:val="center"/>
              <w:outlineLvl w:val="9"/>
              <w:rPr>
                <w:rFonts w:hint="eastAsia" w:ascii="仿宋_GB2312" w:hAnsi="仿宋_GB2312" w:eastAsia="仿宋_GB2312" w:cs="仿宋_GB2312"/>
                <w:i w:val="0"/>
                <w:iCs w:val="0"/>
                <w:color w:val="000000"/>
                <w:sz w:val="28"/>
                <w:szCs w:val="2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三级</w:t>
            </w:r>
          </w:p>
        </w:tc>
        <w:tc>
          <w:tcPr>
            <w:tcW w:w="1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480</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315</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320" w:lineRule="exact"/>
              <w:ind w:left="0" w:leftChars="0" w:right="0" w:firstLine="0" w:firstLineChars="0"/>
              <w:jc w:val="center"/>
              <w:textAlignment w:val="center"/>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±15%</w:t>
            </w:r>
          </w:p>
        </w:tc>
      </w:tr>
    </w:tbl>
    <w:p>
      <w:pPr>
        <w:rPr>
          <w:rFonts w:hint="eastAsia" w:ascii="黑体" w:hAnsi="黑体" w:eastAsia="黑体" w:cs="黑体"/>
          <w:color w:val="000000"/>
          <w:sz w:val="32"/>
          <w:szCs w:val="32"/>
          <w:lang w:val="en-US" w:eastAsia="zh-CN"/>
        </w:rPr>
      </w:pPr>
      <w:r>
        <w:rPr>
          <w:rFonts w:hint="eastAsia" w:ascii="楷体" w:hAnsi="楷体" w:eastAsia="楷体" w:cs="楷体"/>
          <w:color w:val="000000"/>
          <w:sz w:val="28"/>
          <w:szCs w:val="28"/>
          <w:lang w:val="en-US" w:eastAsia="zh-CN"/>
        </w:rPr>
        <w:t>注：上述各类用地级别范围参照对应的商服用地级别范围。</w:t>
      </w:r>
      <w:r>
        <w:rPr>
          <w:rFonts w:hint="eastAsia" w:ascii="仿宋" w:hAnsi="仿宋" w:eastAsia="仿宋" w:cs="仿宋"/>
          <w:color w:val="000000"/>
          <w:sz w:val="32"/>
          <w:szCs w:val="32"/>
          <w:lang w:val="en-US" w:eastAsia="zh-CN"/>
        </w:rPr>
        <w:br w:type="page"/>
      </w:r>
      <w:r>
        <w:rPr>
          <w:rFonts w:hint="eastAsia" w:ascii="黑体" w:hAnsi="黑体" w:eastAsia="黑体" w:cs="黑体"/>
          <w:color w:val="000000"/>
          <w:sz w:val="32"/>
          <w:szCs w:val="32"/>
          <w:lang w:val="en-US" w:eastAsia="zh-CN"/>
        </w:rPr>
        <w:t>附件</w:t>
      </w:r>
      <w:r>
        <w:rPr>
          <w:rFonts w:hint="eastAsia" w:ascii="仿宋" w:hAnsi="仿宋" w:eastAsia="仿宋" w:cs="仿宋"/>
          <w:b/>
          <w:bCs/>
          <w:color w:val="000000"/>
          <w:sz w:val="32"/>
          <w:szCs w:val="32"/>
          <w:lang w:val="en-US" w:eastAsia="zh-CN"/>
        </w:rPr>
        <w:t>3</w:t>
      </w:r>
    </w:p>
    <w:p>
      <w:pPr>
        <w:widowControl w:val="0"/>
        <w:wordWrap/>
        <w:adjustRightInd/>
        <w:snapToGrid/>
        <w:spacing w:beforeLines="100" w:afterLines="100" w:line="600" w:lineRule="exact"/>
        <w:ind w:left="0" w:leftChars="0" w:right="0" w:firstLine="0" w:firstLineChars="0"/>
        <w:jc w:val="center"/>
        <w:textAlignment w:val="auto"/>
        <w:outlineLvl w:val="9"/>
        <w:rPr>
          <w:rFonts w:hint="eastAsia" w:ascii="黑体" w:hAnsi="黑体" w:eastAsia="黑体" w:cs="黑体"/>
          <w:color w:val="000000"/>
          <w:w w:val="100"/>
          <w:sz w:val="40"/>
          <w:szCs w:val="40"/>
          <w:lang w:val="en-US" w:eastAsia="zh-CN"/>
        </w:rPr>
      </w:pPr>
      <w:r>
        <w:rPr>
          <w:rFonts w:hint="eastAsia" w:ascii="方正小标宋简体" w:hAnsi="方正小标宋简体" w:eastAsia="方正小标宋简体" w:cs="方正小标宋简体"/>
          <w:b w:val="0"/>
          <w:bCs/>
          <w:w w:val="100"/>
          <w:sz w:val="40"/>
          <w:szCs w:val="40"/>
          <w:lang w:val="en-US" w:eastAsia="zh-CN"/>
        </w:rPr>
        <w:t>荔城区集体建设用地基准地价使用</w:t>
      </w:r>
      <w:r>
        <w:rPr>
          <w:rFonts w:hint="default" w:ascii="方正小标宋简体" w:hAnsi="方正小标宋简体" w:eastAsia="方正小标宋简体" w:cs="方正小标宋简体"/>
          <w:b w:val="0"/>
          <w:bCs/>
          <w:w w:val="100"/>
          <w:sz w:val="40"/>
          <w:szCs w:val="40"/>
          <w:lang w:val="en-US" w:eastAsia="zh-CN"/>
        </w:rPr>
        <w:t>说明</w:t>
      </w:r>
    </w:p>
    <w:p>
      <w:pPr>
        <w:widowControl w:val="0"/>
        <w:wordWrap/>
        <w:adjustRightInd/>
        <w:snapToGrid/>
        <w:spacing w:before="0" w:after="0" w:line="59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一、基准地价内涵</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基准地价是指：(1)估价期日：2021年1月1日；(2)土地开发程度：宗地红线外“五通”（即通路、通上水、通下水、通电、通讯）和红线内“一平”（即场地平整）；(3)容积率：商服用地2.5，宅基地2.5，工矿仓储用地1.0，公共管理与公共服务用地2.5；(4)土地使用年期：商服用地40年，工矿仓储用地50年，公共管理与公共服务用地50年、宅基地无年期限制设定条件下的均质区域的土地使用权平均价格。</w:t>
      </w:r>
    </w:p>
    <w:p>
      <w:pPr>
        <w:widowControl w:val="0"/>
        <w:wordWrap/>
        <w:adjustRightInd/>
        <w:snapToGrid/>
        <w:spacing w:before="0" w:after="0" w:line="59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二、在宗地地价评估中应注意的事项</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基准地价是城镇各级土地或均质地域的商服、宅基地、工业等土地利用类型评估出来的单位面积的平均价格。而宗地价格是具体的某一宗地的土地使用权的价格，宗地价格还有出让底价、交易价、标定地价之分。基准地价并不代表宗地的具体价格，而是一定时期内某一区域的平均价格，具有一定的稳定性，利用其评估宗地地价，需要进行使用年期、容积率、估价期日等一系列因素的修正。</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2.加油、加气、充换电站用地按相应的商服用地级别基准地价的1.2倍进行评估测算，不进行容积率修正，若同一路段两侧级别不同按就高原则确定。</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3.仓储用地按其所对应的工业用地基准地价的1.3倍计算。</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4.公用设施用地、公园与绿地按其所对应的工业用地基准地价计算。</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5.不在本基准地价覆盖范围内的区域的用地价格，应以其邻近区位条件相当的区域基准地价进行比较修正后确定；本基准地价未涉及的用地类型的价格应以其近似的用地类型基准地价进行比较修正后确定。</w:t>
      </w:r>
    </w:p>
    <w:p>
      <w:pPr>
        <w:widowControl w:val="0"/>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sectPr>
          <w:headerReference r:id="rId3" w:type="default"/>
          <w:footerReference r:id="rId4" w:type="default"/>
          <w:pgSz w:w="11906" w:h="16838"/>
          <w:pgMar w:top="1871" w:right="1587" w:bottom="1871" w:left="1587" w:header="851" w:footer="1417" w:gutter="0"/>
          <w:paperSrc/>
          <w:cols w:space="0" w:num="1"/>
          <w:docGrid w:type="lines" w:linePitch="319" w:charSpace="0"/>
        </w:sectPr>
      </w:pPr>
      <w:r>
        <w:rPr>
          <w:rFonts w:hint="eastAsia" w:ascii="仿宋_GB2312" w:hAnsi="仿宋_GB2312" w:eastAsia="仿宋_GB2312" w:cs="仿宋_GB2312"/>
          <w:color w:val="000000"/>
          <w:sz w:val="32"/>
          <w:szCs w:val="32"/>
          <w:lang w:val="en-US" w:eastAsia="zh-CN"/>
        </w:rPr>
        <w:t>6.影响宗地地价的因素很复杂，在某些特别宗地受某些因素影响特别强烈而使宗地地价发生较大变化时，应对这些因素和其修正幅度做一些特别处理使之更符合实际情况。</w:t>
      </w:r>
      <w:bookmarkStart w:id="0" w:name="_GoBack"/>
      <w:bookmarkEnd w:id="0"/>
    </w:p>
    <w:p>
      <w:pPr>
        <w:pStyle w:val="2"/>
        <w:ind w:left="0" w:leftChars="0" w:firstLine="0" w:firstLineChars="0"/>
        <w:rPr>
          <w:rFonts w:hint="eastAsia"/>
          <w:lang w:val="en-US" w:eastAsia="zh-CN"/>
        </w:rPr>
      </w:pPr>
    </w:p>
    <w:sectPr>
      <w:footerReference r:id="rId5" w:type="default"/>
      <w:pgSz w:w="11906" w:h="16838"/>
      <w:pgMar w:top="1871" w:right="1587" w:bottom="1871" w:left="1587" w:header="851" w:footer="1417"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等线" w:hAnsi="等线" w:eastAsia="等线" w:cs="黑体"/>
        <w:kern w:val="2"/>
        <w:sz w:val="18"/>
        <w:szCs w:val="18"/>
        <w:lang w:val="en-US" w:eastAsia="zh-CN" w:bidi="ar-SA"/>
      </w:rPr>
      <w:pict>
        <v:shape id="文本框1"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wordWrap/>
                  <w:adjustRightInd/>
                  <w:snapToGrid w:val="0"/>
                  <w:spacing w:before="0" w:after="0" w:line="240" w:lineRule="auto"/>
                  <w:ind w:left="420" w:leftChars="200" w:right="420" w:rightChars="20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ZlN2Q2YTdlNTJiNGVjNjFiYzBhOGE2YTg4ZmE3ZDQifQ=="/>
  </w:docVars>
  <w:rsids>
    <w:rsidRoot w:val="00000000"/>
    <w:rsid w:val="043460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23"/>
    <w:qFormat/>
    <w:uiPriority w:val="9"/>
    <w:pPr>
      <w:keepNext/>
      <w:keepLines/>
      <w:spacing w:before="480" w:after="80"/>
      <w:outlineLvl w:val="0"/>
    </w:pPr>
    <w:rPr>
      <w:rFonts w:ascii="等线 Light" w:hAnsi="等线 Light" w:eastAsia="等线 Light" w:cs="黑体"/>
      <w:color w:val="0F4760"/>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等线 Light" w:hAnsi="等线 Light" w:eastAsia="等线 Light" w:cs="黑体"/>
      <w:color w:val="0F4760"/>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等线 Light" w:hAnsi="等线 Light" w:eastAsia="等线 Light" w:cs="黑体"/>
      <w:color w:val="0F4760"/>
      <w:sz w:val="32"/>
      <w:szCs w:val="32"/>
    </w:rPr>
  </w:style>
  <w:style w:type="paragraph" w:styleId="6">
    <w:name w:val="heading 4"/>
    <w:basedOn w:val="1"/>
    <w:next w:val="1"/>
    <w:link w:val="26"/>
    <w:semiHidden/>
    <w:unhideWhenUsed/>
    <w:qFormat/>
    <w:uiPriority w:val="9"/>
    <w:pPr>
      <w:keepNext/>
      <w:keepLines/>
      <w:spacing w:before="80" w:after="40"/>
      <w:outlineLvl w:val="3"/>
    </w:pPr>
    <w:rPr>
      <w:rFonts w:cs="黑体"/>
      <w:color w:val="0F4760"/>
      <w:sz w:val="28"/>
      <w:szCs w:val="28"/>
    </w:rPr>
  </w:style>
  <w:style w:type="paragraph" w:styleId="7">
    <w:name w:val="heading 5"/>
    <w:basedOn w:val="1"/>
    <w:next w:val="1"/>
    <w:link w:val="27"/>
    <w:autoRedefine/>
    <w:semiHidden/>
    <w:unhideWhenUsed/>
    <w:qFormat/>
    <w:uiPriority w:val="9"/>
    <w:pPr>
      <w:keepNext/>
      <w:keepLines/>
      <w:spacing w:before="80" w:after="40"/>
      <w:outlineLvl w:val="4"/>
    </w:pPr>
    <w:rPr>
      <w:rFonts w:cs="黑体"/>
      <w:color w:val="0F4760"/>
      <w:sz w:val="24"/>
      <w:szCs w:val="24"/>
    </w:rPr>
  </w:style>
  <w:style w:type="paragraph" w:styleId="8">
    <w:name w:val="heading 6"/>
    <w:basedOn w:val="1"/>
    <w:next w:val="1"/>
    <w:link w:val="28"/>
    <w:autoRedefine/>
    <w:semiHidden/>
    <w:unhideWhenUsed/>
    <w:qFormat/>
    <w:uiPriority w:val="9"/>
    <w:pPr>
      <w:keepNext/>
      <w:keepLines/>
      <w:spacing w:before="40"/>
      <w:outlineLvl w:val="5"/>
    </w:pPr>
    <w:rPr>
      <w:rFonts w:cs="黑体"/>
      <w:b/>
      <w:bCs/>
      <w:color w:val="0F4760"/>
    </w:rPr>
  </w:style>
  <w:style w:type="paragraph" w:styleId="9">
    <w:name w:val="heading 7"/>
    <w:basedOn w:val="1"/>
    <w:next w:val="1"/>
    <w:link w:val="29"/>
    <w:autoRedefine/>
    <w:semiHidden/>
    <w:unhideWhenUsed/>
    <w:qFormat/>
    <w:uiPriority w:val="9"/>
    <w:pPr>
      <w:keepNext/>
      <w:keepLines/>
      <w:spacing w:before="40"/>
      <w:outlineLvl w:val="6"/>
    </w:pPr>
    <w:rPr>
      <w:rFonts w:cs="黑体"/>
      <w:b/>
      <w:bCs/>
      <w:color w:val="565656"/>
    </w:rPr>
  </w:style>
  <w:style w:type="paragraph" w:styleId="10">
    <w:name w:val="heading 8"/>
    <w:basedOn w:val="1"/>
    <w:next w:val="1"/>
    <w:link w:val="30"/>
    <w:semiHidden/>
    <w:unhideWhenUsed/>
    <w:qFormat/>
    <w:uiPriority w:val="9"/>
    <w:pPr>
      <w:keepNext/>
      <w:keepLines/>
      <w:outlineLvl w:val="7"/>
    </w:pPr>
    <w:rPr>
      <w:rFonts w:cs="黑体"/>
      <w:color w:val="565656"/>
    </w:rPr>
  </w:style>
  <w:style w:type="paragraph" w:styleId="11">
    <w:name w:val="heading 9"/>
    <w:basedOn w:val="1"/>
    <w:next w:val="1"/>
    <w:link w:val="31"/>
    <w:semiHidden/>
    <w:unhideWhenUsed/>
    <w:qFormat/>
    <w:uiPriority w:val="9"/>
    <w:pPr>
      <w:keepNext/>
      <w:keepLines/>
      <w:outlineLvl w:val="8"/>
    </w:pPr>
    <w:rPr>
      <w:rFonts w:eastAsia="等线 Light" w:cs="黑体"/>
      <w:color w:val="565656"/>
    </w:rPr>
  </w:style>
  <w:style w:type="character" w:default="1" w:styleId="17">
    <w:name w:val="Default Paragraph Font"/>
    <w:autoRedefine/>
    <w:semiHidden/>
    <w:unhideWhenUsed/>
    <w:qFormat/>
    <w:uiPriority w:val="1"/>
  </w:style>
  <w:style w:type="table" w:default="1" w:styleId="16">
    <w:name w:val="Normal Table"/>
    <w:autoRedefine/>
    <w:semiHidden/>
    <w:unhideWhenUsed/>
    <w:uiPriority w:val="99"/>
    <w:tblPr>
      <w:tblCellMar>
        <w:top w:w="0" w:type="dxa"/>
        <w:left w:w="108" w:type="dxa"/>
        <w:bottom w:w="0" w:type="dxa"/>
        <w:right w:w="108" w:type="dxa"/>
      </w:tblCellMar>
    </w:tblPr>
  </w:style>
  <w:style w:type="paragraph" w:customStyle="1" w:styleId="2">
    <w:name w:val="Body Text First Indent 2"/>
    <w:basedOn w:val="1"/>
    <w:autoRedefine/>
    <w:qFormat/>
    <w:uiPriority w:val="0"/>
    <w:pPr>
      <w:spacing w:line="360" w:lineRule="auto"/>
      <w:ind w:firstLine="420" w:firstLineChars="200"/>
    </w:pPr>
    <w:rPr>
      <w:rFonts w:eastAsia="宋体"/>
      <w:sz w:val="21"/>
    </w:rPr>
  </w:style>
  <w:style w:type="paragraph" w:styleId="12">
    <w:name w:val="footer"/>
    <w:basedOn w:val="1"/>
    <w:semiHidden/>
    <w:unhideWhenUsed/>
    <w:uiPriority w:val="99"/>
    <w:pPr>
      <w:tabs>
        <w:tab w:val="center" w:pos="4153"/>
        <w:tab w:val="right" w:pos="8306"/>
      </w:tabs>
      <w:snapToGrid w:val="0"/>
      <w:jc w:val="left"/>
    </w:pPr>
    <w:rPr>
      <w:sz w:val="18"/>
      <w:szCs w:val="18"/>
    </w:rPr>
  </w:style>
  <w:style w:type="paragraph" w:styleId="13">
    <w:name w:val="header"/>
    <w:basedOn w:val="1"/>
    <w:semiHidden/>
    <w:unhideWhenUsed/>
    <w:uiPriority w:val="99"/>
    <w:pPr>
      <w:tabs>
        <w:tab w:val="center" w:pos="4153"/>
        <w:tab w:val="right" w:pos="8306"/>
      </w:tabs>
      <w:snapToGrid w:val="0"/>
      <w:jc w:val="center"/>
    </w:pPr>
    <w:rPr>
      <w:sz w:val="18"/>
      <w:szCs w:val="18"/>
    </w:rPr>
  </w:style>
  <w:style w:type="paragraph" w:styleId="14">
    <w:name w:val="Subtitle"/>
    <w:basedOn w:val="1"/>
    <w:next w:val="1"/>
    <w:link w:val="33"/>
    <w:qFormat/>
    <w:uiPriority w:val="11"/>
    <w:pPr>
      <w:spacing w:after="160"/>
      <w:jc w:val="center"/>
    </w:pPr>
    <w:rPr>
      <w:rFonts w:ascii="等线 Light" w:hAnsi="等线 Light" w:eastAsia="等线 Light" w:cs="黑体"/>
      <w:color w:val="565656"/>
      <w:spacing w:val="15"/>
      <w:sz w:val="28"/>
      <w:szCs w:val="28"/>
    </w:rPr>
  </w:style>
  <w:style w:type="paragraph" w:styleId="15">
    <w:name w:val="Title"/>
    <w:basedOn w:val="1"/>
    <w:link w:val="32"/>
    <w:qFormat/>
    <w:uiPriority w:val="10"/>
    <w:pPr>
      <w:spacing w:after="80"/>
      <w:contextualSpacing/>
      <w:jc w:val="center"/>
    </w:pPr>
    <w:rPr>
      <w:rFonts w:ascii="等线 Light" w:hAnsi="等线 Light" w:eastAsia="等线 Light" w:cs="黑体"/>
      <w:spacing w:val="-10"/>
      <w:kern w:val="28"/>
      <w:sz w:val="56"/>
      <w:szCs w:val="56"/>
    </w:rPr>
  </w:style>
  <w:style w:type="paragraph" w:customStyle="1" w:styleId="18">
    <w:name w:val="Quote"/>
    <w:basedOn w:val="1"/>
    <w:next w:val="1"/>
    <w:link w:val="34"/>
    <w:qFormat/>
    <w:uiPriority w:val="29"/>
    <w:pPr>
      <w:spacing w:before="160" w:after="160"/>
      <w:jc w:val="center"/>
    </w:pPr>
    <w:rPr>
      <w:i/>
      <w:iCs/>
      <w:color w:val="3F3F3F"/>
    </w:rPr>
  </w:style>
  <w:style w:type="paragraph" w:customStyle="1" w:styleId="19">
    <w:name w:val="List Paragraph"/>
    <w:basedOn w:val="1"/>
    <w:qFormat/>
    <w:uiPriority w:val="34"/>
    <w:pPr>
      <w:ind w:left="720"/>
      <w:contextualSpacing/>
    </w:pPr>
  </w:style>
  <w:style w:type="paragraph" w:customStyle="1" w:styleId="20">
    <w:name w:val="Intense Quote"/>
    <w:basedOn w:val="1"/>
    <w:next w:val="1"/>
    <w:link w:val="36"/>
    <w:qFormat/>
    <w:uiPriority w:val="30"/>
    <w:pPr>
      <w:pBdr>
        <w:top w:val="single" w:color="0F4761" w:sz="4" w:space="10"/>
        <w:bottom w:val="single" w:color="0F4761" w:sz="4" w:space="10"/>
      </w:pBdr>
      <w:spacing w:before="360" w:after="360"/>
      <w:ind w:left="864" w:right="864"/>
      <w:jc w:val="center"/>
    </w:pPr>
    <w:rPr>
      <w:i/>
      <w:iCs/>
      <w:color w:val="0F4760"/>
    </w:rPr>
  </w:style>
  <w:style w:type="paragraph" w:customStyle="1" w:styleId="21">
    <w:name w:val="地理段落"/>
    <w:basedOn w:val="22"/>
    <w:qFormat/>
    <w:uiPriority w:val="0"/>
    <w:pPr>
      <w:spacing w:line="440" w:lineRule="exact"/>
      <w:ind w:firstLine="560" w:firstLineChars="200"/>
      <w:jc w:val="both"/>
    </w:pPr>
    <w:rPr>
      <w:rFonts w:ascii="仿宋" w:hAnsi="仿宋" w:eastAsia="仿宋"/>
      <w:sz w:val="28"/>
    </w:rPr>
  </w:style>
  <w:style w:type="paragraph" w:customStyle="1" w:styleId="22">
    <w:name w:val="地理标题1"/>
    <w:basedOn w:val="15"/>
    <w:qFormat/>
    <w:uiPriority w:val="0"/>
    <w:pPr>
      <w:spacing w:before="0" w:after="0" w:line="480" w:lineRule="atLeast"/>
      <w:ind w:firstLine="629"/>
      <w:jc w:val="left"/>
      <w:outlineLvl w:val="9"/>
    </w:pPr>
    <w:rPr>
      <w:rFonts w:ascii="宋体" w:hAnsi="宋体" w:cs="Times New Roman"/>
      <w:sz w:val="30"/>
      <w:szCs w:val="20"/>
    </w:rPr>
  </w:style>
  <w:style w:type="character" w:customStyle="1" w:styleId="23">
    <w:name w:val="标题 1 字符"/>
    <w:basedOn w:val="17"/>
    <w:link w:val="3"/>
    <w:qFormat/>
    <w:uiPriority w:val="9"/>
    <w:rPr>
      <w:rFonts w:ascii="等线 Light" w:hAnsi="等线 Light" w:eastAsia="等线 Light" w:cs="黑体"/>
      <w:color w:val="0F4760"/>
      <w:sz w:val="48"/>
      <w:szCs w:val="48"/>
    </w:rPr>
  </w:style>
  <w:style w:type="character" w:customStyle="1" w:styleId="24">
    <w:name w:val="标题 2 字符"/>
    <w:basedOn w:val="17"/>
    <w:link w:val="4"/>
    <w:semiHidden/>
    <w:qFormat/>
    <w:uiPriority w:val="9"/>
    <w:rPr>
      <w:rFonts w:ascii="等线 Light" w:hAnsi="等线 Light" w:eastAsia="等线 Light" w:cs="黑体"/>
      <w:color w:val="0F4760"/>
      <w:sz w:val="40"/>
      <w:szCs w:val="40"/>
    </w:rPr>
  </w:style>
  <w:style w:type="character" w:customStyle="1" w:styleId="25">
    <w:name w:val="标题 3 字符"/>
    <w:basedOn w:val="17"/>
    <w:link w:val="5"/>
    <w:semiHidden/>
    <w:qFormat/>
    <w:uiPriority w:val="9"/>
    <w:rPr>
      <w:rFonts w:ascii="等线 Light" w:hAnsi="等线 Light" w:eastAsia="等线 Light" w:cs="黑体"/>
      <w:color w:val="0F4760"/>
      <w:sz w:val="32"/>
      <w:szCs w:val="32"/>
    </w:rPr>
  </w:style>
  <w:style w:type="character" w:customStyle="1" w:styleId="26">
    <w:name w:val="标题 4 字符"/>
    <w:basedOn w:val="17"/>
    <w:link w:val="6"/>
    <w:semiHidden/>
    <w:qFormat/>
    <w:uiPriority w:val="9"/>
    <w:rPr>
      <w:rFonts w:cs="黑体"/>
      <w:color w:val="0F4760"/>
      <w:sz w:val="28"/>
      <w:szCs w:val="28"/>
    </w:rPr>
  </w:style>
  <w:style w:type="character" w:customStyle="1" w:styleId="27">
    <w:name w:val="标题 5 字符"/>
    <w:basedOn w:val="17"/>
    <w:link w:val="7"/>
    <w:semiHidden/>
    <w:qFormat/>
    <w:uiPriority w:val="9"/>
    <w:rPr>
      <w:rFonts w:cs="黑体"/>
      <w:color w:val="0F4760"/>
      <w:sz w:val="24"/>
      <w:szCs w:val="24"/>
    </w:rPr>
  </w:style>
  <w:style w:type="character" w:customStyle="1" w:styleId="28">
    <w:name w:val="标题 6 字符"/>
    <w:basedOn w:val="17"/>
    <w:link w:val="8"/>
    <w:semiHidden/>
    <w:qFormat/>
    <w:uiPriority w:val="9"/>
    <w:rPr>
      <w:rFonts w:cs="黑体"/>
      <w:b/>
      <w:bCs/>
      <w:color w:val="0F4760"/>
    </w:rPr>
  </w:style>
  <w:style w:type="character" w:customStyle="1" w:styleId="29">
    <w:name w:val="标题 7 字符"/>
    <w:basedOn w:val="17"/>
    <w:link w:val="9"/>
    <w:semiHidden/>
    <w:qFormat/>
    <w:uiPriority w:val="9"/>
    <w:rPr>
      <w:rFonts w:cs="黑体"/>
      <w:b/>
      <w:bCs/>
      <w:color w:val="565656"/>
    </w:rPr>
  </w:style>
  <w:style w:type="character" w:customStyle="1" w:styleId="30">
    <w:name w:val="标题 8 字符"/>
    <w:basedOn w:val="17"/>
    <w:link w:val="10"/>
    <w:semiHidden/>
    <w:qFormat/>
    <w:uiPriority w:val="9"/>
    <w:rPr>
      <w:rFonts w:cs="黑体"/>
      <w:color w:val="565656"/>
    </w:rPr>
  </w:style>
  <w:style w:type="character" w:customStyle="1" w:styleId="31">
    <w:name w:val="标题 9 字符"/>
    <w:basedOn w:val="17"/>
    <w:link w:val="11"/>
    <w:autoRedefine/>
    <w:semiHidden/>
    <w:qFormat/>
    <w:uiPriority w:val="9"/>
    <w:rPr>
      <w:rFonts w:eastAsia="等线 Light" w:cs="黑体"/>
      <w:color w:val="565656"/>
    </w:rPr>
  </w:style>
  <w:style w:type="character" w:customStyle="1" w:styleId="32">
    <w:name w:val="标题 字符"/>
    <w:basedOn w:val="17"/>
    <w:link w:val="15"/>
    <w:uiPriority w:val="10"/>
    <w:rPr>
      <w:rFonts w:ascii="等线 Light" w:hAnsi="等线 Light" w:eastAsia="等线 Light" w:cs="黑体"/>
      <w:spacing w:val="-10"/>
      <w:kern w:val="28"/>
      <w:sz w:val="56"/>
      <w:szCs w:val="56"/>
    </w:rPr>
  </w:style>
  <w:style w:type="character" w:customStyle="1" w:styleId="33">
    <w:name w:val="副标题 字符"/>
    <w:basedOn w:val="17"/>
    <w:link w:val="14"/>
    <w:autoRedefine/>
    <w:qFormat/>
    <w:uiPriority w:val="11"/>
    <w:rPr>
      <w:rFonts w:ascii="等线 Light" w:hAnsi="等线 Light" w:eastAsia="等线 Light" w:cs="黑体"/>
      <w:color w:val="565656"/>
      <w:spacing w:val="15"/>
      <w:sz w:val="28"/>
      <w:szCs w:val="28"/>
    </w:rPr>
  </w:style>
  <w:style w:type="character" w:customStyle="1" w:styleId="34">
    <w:name w:val="引用 字符"/>
    <w:basedOn w:val="17"/>
    <w:link w:val="18"/>
    <w:autoRedefine/>
    <w:qFormat/>
    <w:uiPriority w:val="29"/>
    <w:rPr>
      <w:i/>
      <w:iCs/>
      <w:color w:val="3F3F3F"/>
    </w:rPr>
  </w:style>
  <w:style w:type="character" w:customStyle="1" w:styleId="35">
    <w:name w:val="Intense Emphasis"/>
    <w:basedOn w:val="17"/>
    <w:autoRedefine/>
    <w:qFormat/>
    <w:uiPriority w:val="21"/>
    <w:rPr>
      <w:i/>
      <w:iCs/>
      <w:color w:val="0F4760"/>
    </w:rPr>
  </w:style>
  <w:style w:type="character" w:customStyle="1" w:styleId="36">
    <w:name w:val="明显引用 字符"/>
    <w:basedOn w:val="17"/>
    <w:link w:val="20"/>
    <w:autoRedefine/>
    <w:qFormat/>
    <w:uiPriority w:val="30"/>
    <w:rPr>
      <w:i/>
      <w:iCs/>
      <w:color w:val="0F4760"/>
    </w:rPr>
  </w:style>
  <w:style w:type="character" w:customStyle="1" w:styleId="37">
    <w:name w:val="Intense Reference"/>
    <w:basedOn w:val="17"/>
    <w:qFormat/>
    <w:uiPriority w:val="32"/>
    <w:rPr>
      <w:b/>
      <w:bCs/>
      <w:smallCaps/>
      <w:color w:val="0F4760"/>
      <w:spacing w:val="5"/>
    </w:rPr>
  </w:style>
  <w:style w:type="character" w:customStyle="1" w:styleId="38">
    <w:name w:val="font21"/>
    <w:basedOn w:val="17"/>
    <w:qFormat/>
    <w:uiPriority w:val="0"/>
    <w:rPr>
      <w:rFonts w:hint="eastAsia" w:ascii="仿宋" w:hAnsi="仿宋" w:eastAsia="仿宋" w:cs="仿宋"/>
      <w:color w:val="000000"/>
      <w:sz w:val="24"/>
      <w:szCs w:val="24"/>
      <w:u w:val="none"/>
    </w:rPr>
  </w:style>
  <w:style w:type="character" w:customStyle="1" w:styleId="39">
    <w:name w:val="font11"/>
    <w:basedOn w:val="17"/>
    <w:autoRedefine/>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Words>
  <Characters>169</Characters>
  <Lines>1</Lines>
  <Paragraphs>1</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2024-04-10T05:53:00Z</dcterms:created>
  <dc:creator>chansingon</dc:creator>
  <cp:lastModifiedBy>WPS_1646829779</cp:lastModifiedBy>
  <cp:lastPrinted>2024-05-07T08:04:00Z</cp:lastPrinted>
  <dcterms:modified xsi:type="dcterms:W3CDTF">2024-05-10T02:02:26Z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B23FD40985464CF2880838E5AC498DE7_12</vt:lpwstr>
  </property>
</Properties>
</file>