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napToGrid w:val="0"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fbt"/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201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  <w:lang w:val="en-US" w:eastAsia="zh-CN"/>
        </w:rPr>
        <w:t>8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年度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  <w:lang w:eastAsia="zh-CN"/>
        </w:rPr>
        <w:t>荔城区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“三公”经费</w:t>
      </w:r>
    </w:p>
    <w:p>
      <w:pPr>
        <w:widowControl/>
        <w:snapToGrid w:val="0"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决算支出情况</w:t>
      </w:r>
      <w:bookmarkEnd w:id="0"/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全区</w:t>
      </w:r>
      <w:r>
        <w:rPr>
          <w:rFonts w:hint="eastAsia" w:ascii="仿宋" w:hAnsi="仿宋" w:eastAsia="仿宋"/>
          <w:sz w:val="32"/>
          <w:szCs w:val="32"/>
        </w:rPr>
        <w:t>“三公”经费公共财政拨款支出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242.72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37.87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万元，增长18.49%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具体情况如下：</w:t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　 （一）因公出国（境）费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17.26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元。全年</w:t>
      </w:r>
      <w:r>
        <w:rPr>
          <w:rFonts w:hint="eastAsia" w:ascii="仿宋" w:hAnsi="仿宋" w:eastAsia="仿宋"/>
          <w:sz w:val="32"/>
          <w:szCs w:val="32"/>
          <w:lang w:eastAsia="zh-CN"/>
        </w:rPr>
        <w:t>全区</w:t>
      </w:r>
      <w:r>
        <w:rPr>
          <w:rFonts w:hint="eastAsia" w:ascii="仿宋" w:hAnsi="仿宋" w:eastAsia="仿宋"/>
          <w:sz w:val="32"/>
          <w:szCs w:val="32"/>
        </w:rPr>
        <w:t>部门组织出国团组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个，因公出国（境）累计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人次。</w:t>
      </w:r>
      <w:r>
        <w:rPr>
          <w:rFonts w:hint="eastAsia" w:ascii="仿宋" w:hAnsi="仿宋" w:eastAsia="仿宋"/>
          <w:sz w:val="32"/>
          <w:szCs w:val="32"/>
          <w:highlight w:val="none"/>
        </w:rPr>
        <w:t>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szCs w:val="32"/>
        </w:rPr>
        <w:t>年相比, 因公出国（境）经费支出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4.4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增长34.21%，</w:t>
      </w:r>
      <w:r>
        <w:rPr>
          <w:rFonts w:hint="eastAsia" w:ascii="仿宋" w:hAnsi="仿宋" w:eastAsia="仿宋"/>
          <w:sz w:val="32"/>
          <w:szCs w:val="32"/>
        </w:rPr>
        <w:t>主要是</w:t>
      </w:r>
      <w:r>
        <w:rPr>
          <w:rFonts w:hint="eastAsia" w:ascii="仿宋" w:hAnsi="仿宋" w:eastAsia="仿宋"/>
          <w:sz w:val="32"/>
          <w:szCs w:val="32"/>
          <w:lang w:eastAsia="zh-CN"/>
        </w:rPr>
        <w:t>随着我区经济不断发展，赴外学习交流、招商引资等活动增加。</w:t>
      </w:r>
    </w:p>
    <w:p>
      <w:pPr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　　（二）公务用车购置及运行维护费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200.05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，比上年增加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35.28%，增长21.41%</w:t>
      </w:r>
      <w:r>
        <w:rPr>
          <w:rFonts w:hint="eastAsia" w:ascii="仿宋" w:hAnsi="仿宋" w:eastAsia="仿宋"/>
          <w:sz w:val="32"/>
          <w:szCs w:val="32"/>
        </w:rPr>
        <w:t>。其中：公务用车购置费</w:t>
      </w:r>
      <w:r>
        <w:rPr>
          <w:rFonts w:hint="eastAsia" w:ascii="仿宋" w:hAnsi="仿宋" w:eastAsia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52.53万元</w:t>
      </w:r>
      <w:r>
        <w:rPr>
          <w:rFonts w:hint="eastAsia" w:ascii="仿宋" w:hAnsi="仿宋" w:eastAsia="仿宋"/>
          <w:sz w:val="32"/>
          <w:szCs w:val="32"/>
        </w:rPr>
        <w:t>，公务用车购置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辆，与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szCs w:val="32"/>
        </w:rPr>
        <w:t>年相比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52.53万元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100%。</w:t>
      </w:r>
      <w:r>
        <w:rPr>
          <w:rFonts w:hint="eastAsia" w:ascii="仿宋" w:hAnsi="仿宋" w:eastAsia="仿宋"/>
          <w:bCs/>
          <w:sz w:val="32"/>
          <w:szCs w:val="32"/>
        </w:rPr>
        <w:t>主要是</w:t>
      </w:r>
      <w:r>
        <w:rPr>
          <w:rFonts w:hint="eastAsia" w:ascii="仿宋" w:hAnsi="仿宋" w:eastAsia="仿宋"/>
          <w:bCs/>
          <w:sz w:val="32"/>
          <w:szCs w:val="32"/>
          <w:highlight w:val="none"/>
          <w:lang w:eastAsia="zh-CN"/>
        </w:rPr>
        <w:t>公务用车制度改革期间，暂停公务用车购置和更新，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2017年</w:t>
      </w:r>
      <w:r>
        <w:rPr>
          <w:rFonts w:hint="eastAsia" w:ascii="仿宋" w:hAnsi="仿宋" w:eastAsia="仿宋"/>
          <w:bCs/>
          <w:sz w:val="32"/>
          <w:szCs w:val="32"/>
          <w:highlight w:val="none"/>
          <w:lang w:eastAsia="zh-CN"/>
        </w:rPr>
        <w:t>公务用车购置费为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0。</w:t>
      </w:r>
      <w:r>
        <w:rPr>
          <w:rFonts w:hint="eastAsia" w:ascii="仿宋" w:hAnsi="仿宋" w:eastAsia="仿宋"/>
          <w:bCs/>
          <w:sz w:val="32"/>
          <w:szCs w:val="32"/>
          <w:highlight w:val="none"/>
          <w:lang w:eastAsia="zh-CN"/>
        </w:rPr>
        <w:t>车改后，由于使用年限到期等原因，公务用车平台更新公务用车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公务用车运行维护费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147.52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，主要用于公务用车燃油、维修、保险等方面支出，年末公务用车保有量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137</w:t>
      </w:r>
      <w:r>
        <w:rPr>
          <w:rFonts w:hint="eastAsia" w:ascii="仿宋" w:hAnsi="仿宋" w:eastAsia="仿宋"/>
          <w:sz w:val="32"/>
          <w:szCs w:val="32"/>
        </w:rPr>
        <w:t>辆，比上年减少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17.25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10.47%，</w:t>
      </w:r>
      <w:r>
        <w:rPr>
          <w:rFonts w:hint="eastAsia" w:ascii="仿宋" w:hAnsi="仿宋" w:eastAsia="仿宋"/>
          <w:sz w:val="32"/>
          <w:szCs w:val="32"/>
        </w:rPr>
        <w:t>主要是</w:t>
      </w:r>
      <w:r>
        <w:rPr>
          <w:rFonts w:hint="eastAsia" w:ascii="仿宋" w:hAnsi="仿宋" w:eastAsia="仿宋"/>
          <w:sz w:val="32"/>
          <w:szCs w:val="32"/>
          <w:highlight w:val="none"/>
        </w:rPr>
        <w:t>公车改革，车辆数减少，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同时</w:t>
      </w:r>
      <w:r>
        <w:rPr>
          <w:rFonts w:hint="eastAsia" w:ascii="仿宋" w:hAnsi="仿宋" w:eastAsia="仿宋"/>
          <w:sz w:val="32"/>
          <w:szCs w:val="32"/>
          <w:highlight w:val="none"/>
        </w:rPr>
        <w:t>留存的公务用车依然严格控制运行经费支出，加强公务用车审批，认真落实公车运行费用定额标准，有效控制运行费用。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（三）公务接待费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25.40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元，国内公务接待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178</w:t>
      </w:r>
      <w:r>
        <w:rPr>
          <w:rFonts w:hint="eastAsia" w:ascii="仿宋" w:hAnsi="仿宋" w:eastAsia="仿宋"/>
          <w:sz w:val="32"/>
          <w:szCs w:val="32"/>
        </w:rPr>
        <w:t>批次，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2357</w:t>
      </w:r>
      <w:r>
        <w:rPr>
          <w:rFonts w:hint="eastAsia" w:ascii="仿宋" w:hAnsi="仿宋" w:eastAsia="仿宋"/>
          <w:sz w:val="32"/>
          <w:szCs w:val="32"/>
        </w:rPr>
        <w:t>人次。与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szCs w:val="32"/>
        </w:rPr>
        <w:t>年相比, 公务接待费支出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1.82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压减</w:t>
      </w:r>
      <w:bookmarkStart w:id="2" w:name="_GoBack"/>
      <w:bookmarkEnd w:id="2"/>
      <w:r>
        <w:rPr>
          <w:rFonts w:hint="eastAsia" w:ascii="仿宋" w:hAnsi="仿宋" w:eastAsia="仿宋"/>
          <w:sz w:val="32"/>
          <w:szCs w:val="32"/>
          <w:lang w:val="en-US" w:eastAsia="zh-CN"/>
        </w:rPr>
        <w:t>6.69%，</w:t>
      </w:r>
      <w:r>
        <w:rPr>
          <w:rFonts w:hint="eastAsia" w:ascii="仿宋" w:hAnsi="仿宋" w:eastAsia="仿宋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按照“先审核、后接待”的管理程序，严禁无公函、超标准接待，严格执行公务接待标准。</w:t>
      </w:r>
    </w:p>
    <w:p>
      <w:pPr>
        <w:tabs>
          <w:tab w:val="left" w:pos="7513"/>
        </w:tabs>
        <w:adjustRightInd w:val="0"/>
        <w:snapToGrid w:val="0"/>
        <w:spacing w:line="62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附件：</w:t>
      </w:r>
      <w:r>
        <w:rPr>
          <w:rFonts w:hint="eastAsia" w:ascii="仿宋" w:hAnsi="仿宋" w:eastAsia="仿宋" w:cs="仿宋_GB2312"/>
          <w:sz w:val="32"/>
          <w:szCs w:val="32"/>
          <w:highlight w:val="none"/>
        </w:rPr>
        <w:t>201</w:t>
      </w:r>
      <w:r>
        <w:rPr>
          <w:rFonts w:hint="eastAsia" w:ascii="仿宋" w:hAnsi="仿宋" w:eastAsia="仿宋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年荔城区“三公”经费公共财政拨款支出情况表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/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　　</w:t>
      </w:r>
      <w:bookmarkStart w:id="1" w:name="ffz"/>
      <w:r>
        <w:rPr>
          <w:rFonts w:hint="eastAsia" w:ascii="仿宋" w:hAnsi="仿宋" w:eastAsia="仿宋"/>
          <w:sz w:val="32"/>
          <w:szCs w:val="32"/>
        </w:rPr>
        <w:t xml:space="preserve"> </w:t>
      </w:r>
      <w:bookmarkEnd w:id="1"/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莆田市荔城区财政局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 xml:space="preserve">  2019</w:t>
      </w:r>
      <w:r>
        <w:rPr>
          <w:rFonts w:hint="eastAsia" w:ascii="仿宋" w:hAnsi="仿宋" w:eastAsia="仿宋"/>
          <w:sz w:val="32"/>
          <w:szCs w:val="32"/>
        </w:rPr>
        <w:t>年 8 月 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_GB2312"/>
    <w:panose1 w:val="00000000000000000000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����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7">
    <w:name w:val="Char1"/>
    <w:basedOn w:val="1"/>
    <w:uiPriority w:val="0"/>
    <w:pPr>
      <w:tabs>
        <w:tab w:val="left" w:pos="720"/>
      </w:tabs>
      <w:ind w:left="720" w:hanging="72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117</Words>
  <Characters>672</Characters>
  <Lines>5</Lines>
  <Paragraphs>1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2018-08-02T01:30:00Z</dcterms:created>
  <dc:creator>hp</dc:creator>
  <cp:lastModifiedBy>Administrator</cp:lastModifiedBy>
  <cp:lastPrinted>2019-08-16T09:17:00Z</cp:lastPrinted>
  <dcterms:modified xsi:type="dcterms:W3CDTF">2020-03-31T02:31:56Z</dcterms:modified>
  <dc:title>2017年度荔城区区级“三公”经费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