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jc w:val="center"/>
        <w:textAlignment w:val="baseline"/>
        <w:rPr>
          <w:rFonts w:hint="eastAsia" w:ascii="方正小标宋简体" w:hAnsi="方正小标宋简体" w:eastAsia="方正小标宋简体" w:cs="方正小标宋简体"/>
          <w:b w:val="0"/>
          <w:i w:val="0"/>
          <w:caps w:val="0"/>
          <w:color w:val="000000" w:themeColor="text1"/>
          <w:spacing w:val="0"/>
          <w:w w:val="100"/>
          <w:sz w:val="44"/>
          <w:szCs w:val="44"/>
          <w14:textFill>
            <w14:solidFill>
              <w14:schemeClr w14:val="tx1"/>
            </w14:solidFill>
          </w14:textFill>
        </w:rPr>
      </w:pPr>
      <w:r>
        <w:rPr>
          <w:rFonts w:hint="eastAsia" w:ascii="方正小标宋简体" w:hAnsi="方正小标宋简体" w:eastAsia="方正小标宋简体" w:cs="方正小标宋简体"/>
          <w:b w:val="0"/>
          <w:i w:val="0"/>
          <w:caps w:val="0"/>
          <w:color w:val="000000" w:themeColor="text1"/>
          <w:spacing w:val="0"/>
          <w:w w:val="100"/>
          <w:sz w:val="44"/>
          <w:szCs w:val="44"/>
          <w14:textFill>
            <w14:solidFill>
              <w14:schemeClr w14:val="tx1"/>
            </w14:solidFill>
          </w14:textFill>
        </w:rPr>
        <w:t>关于20</w:t>
      </w:r>
      <w:r>
        <w:rPr>
          <w:rFonts w:hint="eastAsia" w:ascii="方正小标宋简体" w:hAnsi="方正小标宋简体" w:eastAsia="方正小标宋简体" w:cs="方正小标宋简体"/>
          <w:b w:val="0"/>
          <w:i w:val="0"/>
          <w:caps w:val="0"/>
          <w:color w:val="000000" w:themeColor="text1"/>
          <w:spacing w:val="0"/>
          <w:w w:val="100"/>
          <w:sz w:val="44"/>
          <w:szCs w:val="44"/>
          <w:lang w:val="en-US" w:eastAsia="zh-CN"/>
          <w14:textFill>
            <w14:solidFill>
              <w14:schemeClr w14:val="tx1"/>
            </w14:solidFill>
          </w14:textFill>
        </w:rPr>
        <w:t>21</w:t>
      </w:r>
      <w:r>
        <w:rPr>
          <w:rFonts w:hint="eastAsia" w:ascii="方正小标宋简体" w:hAnsi="方正小标宋简体" w:eastAsia="方正小标宋简体" w:cs="方正小标宋简体"/>
          <w:b w:val="0"/>
          <w:i w:val="0"/>
          <w:caps w:val="0"/>
          <w:color w:val="000000" w:themeColor="text1"/>
          <w:spacing w:val="0"/>
          <w:w w:val="100"/>
          <w:sz w:val="44"/>
          <w:szCs w:val="44"/>
          <w14:textFill>
            <w14:solidFill>
              <w14:schemeClr w14:val="tx1"/>
            </w14:solidFill>
          </w14:textFill>
        </w:rPr>
        <w:t>年度区级财政收支决算和20</w:t>
      </w:r>
      <w:r>
        <w:rPr>
          <w:rFonts w:hint="eastAsia" w:ascii="方正小标宋简体" w:hAnsi="方正小标宋简体" w:eastAsia="方正小标宋简体" w:cs="方正小标宋简体"/>
          <w:b w:val="0"/>
          <w:i w:val="0"/>
          <w:caps w:val="0"/>
          <w:color w:val="000000" w:themeColor="text1"/>
          <w:spacing w:val="0"/>
          <w:w w:val="100"/>
          <w:sz w:val="44"/>
          <w:szCs w:val="44"/>
          <w:lang w:val="en-US" w:eastAsia="zh-CN"/>
          <w14:textFill>
            <w14:solidFill>
              <w14:schemeClr w14:val="tx1"/>
            </w14:solidFill>
          </w14:textFill>
        </w:rPr>
        <w:t>22</w:t>
      </w:r>
      <w:r>
        <w:rPr>
          <w:rFonts w:hint="eastAsia" w:ascii="方正小标宋简体" w:hAnsi="方正小标宋简体" w:eastAsia="方正小标宋简体" w:cs="方正小标宋简体"/>
          <w:b w:val="0"/>
          <w:i w:val="0"/>
          <w:caps w:val="0"/>
          <w:color w:val="000000" w:themeColor="text1"/>
          <w:spacing w:val="0"/>
          <w:w w:val="100"/>
          <w:sz w:val="44"/>
          <w:szCs w:val="44"/>
          <w14:textFill>
            <w14:solidFill>
              <w14:schemeClr w14:val="tx1"/>
            </w14:solidFill>
          </w14:textFill>
        </w:rPr>
        <w:t>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jc w:val="center"/>
        <w:textAlignment w:val="baseline"/>
        <w:rPr>
          <w:rFonts w:hint="eastAsia" w:ascii="仿宋" w:hAnsi="仿宋" w:eastAsia="仿宋" w:cs="仿宋"/>
          <w:b w:val="0"/>
          <w:i w:val="0"/>
          <w:caps w:val="0"/>
          <w:color w:val="000000" w:themeColor="text1"/>
          <w:spacing w:val="0"/>
          <w:w w:val="100"/>
          <w:sz w:val="44"/>
          <w:szCs w:val="44"/>
          <w14:textFill>
            <w14:solidFill>
              <w14:schemeClr w14:val="tx1"/>
            </w14:solidFill>
          </w14:textFill>
        </w:rPr>
      </w:pPr>
      <w:r>
        <w:rPr>
          <w:rFonts w:hint="eastAsia" w:ascii="方正小标宋简体" w:hAnsi="方正小标宋简体" w:eastAsia="方正小标宋简体" w:cs="方正小标宋简体"/>
          <w:b w:val="0"/>
          <w:i w:val="0"/>
          <w:caps w:val="0"/>
          <w:color w:val="000000" w:themeColor="text1"/>
          <w:spacing w:val="0"/>
          <w:w w:val="100"/>
          <w:sz w:val="44"/>
          <w:szCs w:val="44"/>
          <w14:textFill>
            <w14:solidFill>
              <w14:schemeClr w14:val="tx1"/>
            </w14:solidFill>
          </w14:textFill>
        </w:rPr>
        <w:t>1—6月份财政预算执行情况的报告</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sz w:val="32"/>
          <w:szCs w:val="32"/>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14:textFill>
            <w14:solidFill>
              <w14:schemeClr w14:val="tx1"/>
            </w14:solidFill>
          </w14:textFill>
        </w:rPr>
        <w:t>（20</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22</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年</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7</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月</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27</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日在区</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五</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届人大常委会第</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三</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次会议上）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荔城区人民政府副区长、</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财政局局长  陈志鸿</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eastAsia" w:ascii="仿宋" w:hAnsi="仿宋" w:eastAsia="仿宋" w:cs="仿宋"/>
          <w:b w:val="0"/>
          <w:i w:val="0"/>
          <w:caps w:val="0"/>
          <w:color w:val="000000" w:themeColor="text1"/>
          <w:spacing w:val="0"/>
          <w:w w:val="10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仿宋" w:hAnsi="仿宋" w:eastAsia="仿宋" w:cs="仿宋"/>
          <w:b w:val="0"/>
          <w:i w:val="0"/>
          <w:caps w:val="0"/>
          <w:color w:val="000000" w:themeColor="text1"/>
          <w:spacing w:val="0"/>
          <w:w w:val="100"/>
          <w:sz w:val="32"/>
          <w:szCs w:val="32"/>
          <w14:textFill>
            <w14:solidFill>
              <w14:schemeClr w14:val="tx1"/>
            </w14:solidFill>
          </w14:textFill>
        </w:rPr>
      </w:pPr>
      <w:r>
        <w:rPr>
          <w:rFonts w:hint="eastAsia" w:hAnsi="仿宋_GB2312" w:eastAsia="仿宋_GB2312"/>
          <w:b w:val="0"/>
          <w:i w:val="0"/>
          <w:caps w:val="0"/>
          <w:color w:val="000000" w:themeColor="text1"/>
          <w:spacing w:val="0"/>
          <w:w w:val="100"/>
          <w:sz w:val="32"/>
          <w:szCs w:val="32"/>
          <w:lang w:eastAsia="zh-CN"/>
          <w14:textFill>
            <w14:solidFill>
              <w14:schemeClr w14:val="tx1"/>
            </w14:solidFill>
          </w14:textFill>
        </w:rPr>
        <w:t>尊敬的</w:t>
      </w:r>
      <w:r>
        <w:rPr>
          <w:rFonts w:hAnsi="仿宋_GB2312" w:eastAsia="仿宋_GB2312"/>
          <w:b w:val="0"/>
          <w:i w:val="0"/>
          <w:caps w:val="0"/>
          <w:color w:val="000000" w:themeColor="text1"/>
          <w:spacing w:val="0"/>
          <w:w w:val="100"/>
          <w:sz w:val="32"/>
          <w:szCs w:val="32"/>
          <w14:textFill>
            <w14:solidFill>
              <w14:schemeClr w14:val="tx1"/>
            </w14:solidFill>
          </w14:textFill>
        </w:rPr>
        <w:t>主任、各位副主任、各位委员</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eastAsia" w:ascii="仿宋" w:hAnsi="仿宋" w:eastAsia="仿宋" w:cs="仿宋"/>
          <w:b w:val="0"/>
          <w:i w:val="0"/>
          <w:caps w:val="0"/>
          <w:color w:val="000000" w:themeColor="text1"/>
          <w:spacing w:val="0"/>
          <w:w w:val="100"/>
          <w:sz w:val="32"/>
          <w:szCs w:val="32"/>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14:textFill>
            <w14:solidFill>
              <w14:schemeClr w14:val="tx1"/>
            </w14:solidFill>
          </w14:textFill>
        </w:rPr>
        <w:t>过去的一年，在区委</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的正确领导和</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区人大的</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依法</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监督下，全区财税部门团结一心</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凝心聚力</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群策群力，大力涵养财源，统筹安排财政资金，扎实抓好各项工作，</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顺利</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完成全年的预算任务。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eastAsia" w:ascii="楷体" w:hAnsi="楷体" w:eastAsia="楷体" w:cs="楷体"/>
          <w:b/>
          <w:bCs/>
          <w:i w:val="0"/>
          <w:caps w:val="0"/>
          <w:color w:val="000000" w:themeColor="text1"/>
          <w:spacing w:val="0"/>
          <w:w w:val="100"/>
          <w:sz w:val="32"/>
          <w:szCs w:val="32"/>
          <w14:textFill>
            <w14:solidFill>
              <w14:schemeClr w14:val="tx1"/>
            </w14:solidFill>
          </w14:textFill>
        </w:rPr>
      </w:pPr>
      <w:r>
        <w:rPr>
          <w:rFonts w:hint="eastAsia" w:ascii="黑体" w:hAnsi="黑体" w:eastAsia="黑体" w:cs="黑体"/>
          <w:b w:val="0"/>
          <w:i w:val="0"/>
          <w:caps w:val="0"/>
          <w:color w:val="000000" w:themeColor="text1"/>
          <w:spacing w:val="0"/>
          <w:w w:val="100"/>
          <w:sz w:val="32"/>
          <w:szCs w:val="32"/>
          <w14:textFill>
            <w14:solidFill>
              <w14:schemeClr w14:val="tx1"/>
            </w14:solidFill>
          </w14:textFill>
        </w:rPr>
        <w:t>一、20</w:t>
      </w:r>
      <w:r>
        <w:rPr>
          <w:rFonts w:hint="eastAsia" w:ascii="黑体" w:hAnsi="黑体" w:eastAsia="黑体" w:cs="黑体"/>
          <w:b w:val="0"/>
          <w:i w:val="0"/>
          <w:caps w:val="0"/>
          <w:color w:val="000000" w:themeColor="text1"/>
          <w:spacing w:val="0"/>
          <w:w w:val="100"/>
          <w:sz w:val="32"/>
          <w:szCs w:val="32"/>
          <w:lang w:val="en-US" w:eastAsia="zh-CN"/>
          <w14:textFill>
            <w14:solidFill>
              <w14:schemeClr w14:val="tx1"/>
            </w14:solidFill>
          </w14:textFill>
        </w:rPr>
        <w:t>21</w:t>
      </w:r>
      <w:r>
        <w:rPr>
          <w:rFonts w:hint="eastAsia" w:ascii="黑体" w:hAnsi="黑体" w:eastAsia="黑体" w:cs="黑体"/>
          <w:b w:val="0"/>
          <w:i w:val="0"/>
          <w:caps w:val="0"/>
          <w:color w:val="000000" w:themeColor="text1"/>
          <w:spacing w:val="0"/>
          <w:w w:val="100"/>
          <w:sz w:val="32"/>
          <w:szCs w:val="32"/>
          <w14:textFill>
            <w14:solidFill>
              <w14:schemeClr w14:val="tx1"/>
            </w14:solidFill>
          </w14:textFill>
        </w:rPr>
        <w:t>年财政收支决算情况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baseline"/>
        <w:rPr>
          <w:rFonts w:hint="eastAsia" w:ascii="楷体" w:hAnsi="楷体" w:eastAsia="楷体" w:cs="楷体"/>
          <w:b w:val="0"/>
          <w:i w:val="0"/>
          <w:caps w:val="0"/>
          <w:color w:val="000000" w:themeColor="text1"/>
          <w:spacing w:val="0"/>
          <w:w w:val="100"/>
          <w:sz w:val="32"/>
          <w:szCs w:val="32"/>
          <w14:textFill>
            <w14:solidFill>
              <w14:schemeClr w14:val="tx1"/>
            </w14:solidFill>
          </w14:textFill>
        </w:rPr>
      </w:pPr>
      <w:r>
        <w:rPr>
          <w:rFonts w:hint="eastAsia" w:ascii="楷体" w:hAnsi="楷体" w:eastAsia="楷体" w:cs="楷体"/>
          <w:b/>
          <w:bCs/>
          <w:i w:val="0"/>
          <w:caps w:val="0"/>
          <w:color w:val="000000" w:themeColor="text1"/>
          <w:spacing w:val="0"/>
          <w:w w:val="100"/>
          <w:sz w:val="32"/>
          <w:szCs w:val="32"/>
          <w14:textFill>
            <w14:solidFill>
              <w14:schemeClr w14:val="tx1"/>
            </w14:solidFill>
          </w14:textFill>
        </w:rPr>
        <w:t>（一）20</w:t>
      </w:r>
      <w:r>
        <w:rPr>
          <w:rFonts w:hint="eastAsia" w:ascii="楷体" w:hAnsi="楷体" w:eastAsia="楷体" w:cs="楷体"/>
          <w:b/>
          <w:bCs/>
          <w:i w:val="0"/>
          <w:caps w:val="0"/>
          <w:color w:val="000000" w:themeColor="text1"/>
          <w:spacing w:val="0"/>
          <w:w w:val="100"/>
          <w:sz w:val="32"/>
          <w:szCs w:val="32"/>
          <w:lang w:val="en-US" w:eastAsia="zh-CN"/>
          <w14:textFill>
            <w14:solidFill>
              <w14:schemeClr w14:val="tx1"/>
            </w14:solidFill>
          </w14:textFill>
        </w:rPr>
        <w:t>21</w:t>
      </w:r>
      <w:r>
        <w:rPr>
          <w:rFonts w:hint="eastAsia" w:ascii="楷体" w:hAnsi="楷体" w:eastAsia="楷体" w:cs="楷体"/>
          <w:b/>
          <w:bCs/>
          <w:i w:val="0"/>
          <w:caps w:val="0"/>
          <w:color w:val="000000" w:themeColor="text1"/>
          <w:spacing w:val="0"/>
          <w:w w:val="100"/>
          <w:sz w:val="32"/>
          <w:szCs w:val="32"/>
          <w14:textFill>
            <w14:solidFill>
              <w14:schemeClr w14:val="tx1"/>
            </w14:solidFill>
          </w14:textFill>
        </w:rPr>
        <w:t>年全区预算执行情况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baseline"/>
        <w:rPr>
          <w:rFonts w:hint="eastAsia" w:ascii="仿宋" w:hAnsi="仿宋" w:eastAsia="仿宋" w:cs="仿宋"/>
          <w:b w:val="0"/>
          <w:i w:val="0"/>
          <w:caps w:val="0"/>
          <w:color w:val="000000" w:themeColor="text1"/>
          <w:spacing w:val="0"/>
          <w:w w:val="100"/>
          <w:kern w:val="0"/>
          <w:sz w:val="32"/>
          <w:szCs w:val="32"/>
          <w14:textFill>
            <w14:solidFill>
              <w14:schemeClr w14:val="tx1"/>
            </w14:solidFill>
          </w14:textFill>
        </w:rPr>
      </w:pPr>
      <w:r>
        <w:rPr>
          <w:rFonts w:hint="eastAsia" w:ascii="仿宋" w:hAnsi="仿宋" w:eastAsia="仿宋" w:cs="仿宋"/>
          <w:b/>
          <w:i w:val="0"/>
          <w:caps w:val="0"/>
          <w:color w:val="000000" w:themeColor="text1"/>
          <w:spacing w:val="0"/>
          <w:w w:val="100"/>
          <w:sz w:val="32"/>
          <w:szCs w:val="32"/>
          <w:lang w:val="en-US" w:eastAsia="zh-CN"/>
          <w14:textFill>
            <w14:solidFill>
              <w14:schemeClr w14:val="tx1"/>
            </w14:solidFill>
          </w14:textFill>
        </w:rPr>
        <w:t>1.</w:t>
      </w:r>
      <w:r>
        <w:rPr>
          <w:rFonts w:hint="eastAsia" w:ascii="仿宋" w:hAnsi="仿宋" w:eastAsia="仿宋" w:cs="仿宋"/>
          <w:b/>
          <w:i w:val="0"/>
          <w:caps w:val="0"/>
          <w:color w:val="000000" w:themeColor="text1"/>
          <w:spacing w:val="0"/>
          <w:w w:val="100"/>
          <w:sz w:val="32"/>
          <w:szCs w:val="32"/>
          <w14:textFill>
            <w14:solidFill>
              <w14:schemeClr w14:val="tx1"/>
            </w14:solidFill>
          </w14:textFill>
        </w:rPr>
        <w:t>全区一般公共预算执行情况：</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202</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年全区一般公共预算总收入</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490635</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万元，完成调整后预算收入</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470430</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万元的10</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4.3</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%，同比</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增</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收</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28238</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增长</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6.1</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%，其中：地方一般公共预算收入</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306218</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万元，完成调整后预算收入</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320000</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万元的</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95.7</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%，同比</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增</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收</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30684</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增长</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11.1</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%；上划中央收入</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184417</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万元，完成调整后预算收入</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150430</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万元的</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122.6</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%，同比减收</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2446</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万元，下降</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1.3</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eastAsia" w:ascii="仿宋" w:hAnsi="仿宋" w:eastAsia="仿宋" w:cs="仿宋"/>
          <w:b w:val="0"/>
          <w:i w:val="0"/>
          <w:caps w:val="0"/>
          <w:color w:val="000000" w:themeColor="text1"/>
          <w:spacing w:val="0"/>
          <w:w w:val="100"/>
          <w:sz w:val="32"/>
          <w:szCs w:val="32"/>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14:textFill>
            <w14:solidFill>
              <w14:schemeClr w14:val="tx1"/>
            </w14:solidFill>
          </w14:textFill>
        </w:rPr>
        <w:t>经上级财政部门审定的20</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21</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年度荔城区一般公共预算总财力</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407309</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万元，其中：一般公共预算财力及一般转移支付财力</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317247</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万元，上级专项转移支付</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13988</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万元，地方政府一般债务转贷收入</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26272</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万元（其中：</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再融资</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债券</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转贷</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收入</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7984</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新增一般债券</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18165</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外债转贷收入</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123万元</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调入资金</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7474万元，</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上年结转下年支出</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42328</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eastAsia" w:ascii="仿宋" w:hAnsi="仿宋" w:eastAsia="仿宋" w:cs="仿宋"/>
          <w:b w:val="0"/>
          <w:i w:val="0"/>
          <w:caps w:val="0"/>
          <w:color w:val="000000" w:themeColor="text1"/>
          <w:spacing w:val="0"/>
          <w:w w:val="100"/>
          <w:sz w:val="32"/>
          <w:szCs w:val="32"/>
          <w14:textFill>
            <w14:solidFill>
              <w14:schemeClr w14:val="tx1"/>
            </w14:solidFill>
          </w14:textFill>
        </w:rPr>
      </w:pPr>
      <w:bookmarkStart w:id="0" w:name="OLE_LINK1"/>
      <w:r>
        <w:rPr>
          <w:rFonts w:hint="eastAsia" w:ascii="仿宋" w:hAnsi="仿宋" w:eastAsia="仿宋" w:cs="仿宋"/>
          <w:b w:val="0"/>
          <w:i w:val="0"/>
          <w:caps w:val="0"/>
          <w:color w:val="000000" w:themeColor="text1"/>
          <w:spacing w:val="0"/>
          <w:w w:val="100"/>
          <w:sz w:val="32"/>
          <w:szCs w:val="32"/>
          <w14:textFill>
            <w14:solidFill>
              <w14:schemeClr w14:val="tx1"/>
            </w14:solidFill>
          </w14:textFill>
        </w:rPr>
        <w:t>全区一般公共预算及债务还本支出</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380597</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万元，增长</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3.7</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%，其中：一般公共预算支出</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367290</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万元，增长</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7.5</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%；地方政府一般债务还本支出</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13307</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下降</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47.5</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安排预算稳定调节基金</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4269</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eastAsia" w:ascii="仿宋" w:hAnsi="仿宋" w:eastAsia="仿宋" w:cs="仿宋"/>
          <w:b w:val="0"/>
          <w:i w:val="0"/>
          <w:caps w:val="0"/>
          <w:color w:val="000000" w:themeColor="text1"/>
          <w:spacing w:val="0"/>
          <w:w w:val="100"/>
          <w:sz w:val="32"/>
          <w:szCs w:val="32"/>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14:textFill>
            <w14:solidFill>
              <w14:schemeClr w14:val="tx1"/>
            </w14:solidFill>
          </w14:textFill>
        </w:rPr>
        <w:t>滚存结余</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22443</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万元，结转下年支出</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22443</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w:t>
      </w:r>
      <w:bookmarkEnd w:id="0"/>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当年度实现收支平衡，控制在人大常委会批准范围之内。</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baseline"/>
        <w:rPr>
          <w:rFonts w:hint="eastAsia" w:ascii="仿宋" w:hAnsi="仿宋" w:eastAsia="仿宋" w:cs="仿宋"/>
          <w:b w:val="0"/>
          <w:i w:val="0"/>
          <w:caps w:val="0"/>
          <w:color w:val="000000" w:themeColor="text1"/>
          <w:spacing w:val="0"/>
          <w:w w:val="100"/>
          <w:sz w:val="32"/>
          <w:szCs w:val="32"/>
          <w14:textFill>
            <w14:solidFill>
              <w14:schemeClr w14:val="tx1"/>
            </w14:solidFill>
          </w14:textFill>
        </w:rPr>
      </w:pPr>
      <w:r>
        <w:rPr>
          <w:rFonts w:hint="eastAsia" w:ascii="仿宋" w:hAnsi="仿宋" w:eastAsia="仿宋" w:cs="仿宋"/>
          <w:b/>
          <w:bCs/>
          <w:i w:val="0"/>
          <w:caps w:val="0"/>
          <w:color w:val="000000" w:themeColor="text1"/>
          <w:spacing w:val="0"/>
          <w:w w:val="100"/>
          <w:sz w:val="32"/>
          <w:szCs w:val="32"/>
          <w:lang w:val="en-US" w:eastAsia="zh-CN"/>
          <w14:textFill>
            <w14:solidFill>
              <w14:schemeClr w14:val="tx1"/>
            </w14:solidFill>
          </w14:textFill>
        </w:rPr>
        <w:t>2.</w:t>
      </w:r>
      <w:r>
        <w:rPr>
          <w:rFonts w:hint="eastAsia" w:ascii="仿宋" w:hAnsi="仿宋" w:eastAsia="仿宋" w:cs="仿宋"/>
          <w:b/>
          <w:bCs/>
          <w:i w:val="0"/>
          <w:caps w:val="0"/>
          <w:color w:val="000000" w:themeColor="text1"/>
          <w:spacing w:val="0"/>
          <w:w w:val="100"/>
          <w:sz w:val="32"/>
          <w:szCs w:val="32"/>
          <w14:textFill>
            <w14:solidFill>
              <w14:schemeClr w14:val="tx1"/>
            </w14:solidFill>
          </w14:textFill>
        </w:rPr>
        <w:t>全区政府性基金收支情况：</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全区政府性基金收入</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13251</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万元，完成调整后预算收入</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12025</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万元的</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110.2</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%，上级补助收入</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115032</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地方政府专项债务转贷收入</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308730</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万元，上年结余</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50358</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万元，可动用基金共计</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487371</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万元。基金支出</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268446</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万元，地方政府专项债务还本支出</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7375</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政府性基金预算</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上解上级支出</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8万元，</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政府性基金预算调出资金</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7434</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年终滚存结余</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204108万</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元，控制在区人大常委会审批的盘子之内。</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baseline"/>
        <w:rPr>
          <w:rFonts w:hint="eastAsia" w:ascii="楷体" w:hAnsi="楷体" w:eastAsia="楷体" w:cs="楷体"/>
          <w:b/>
          <w:bCs/>
          <w:i w:val="0"/>
          <w:caps w:val="0"/>
          <w:color w:val="000000" w:themeColor="text1"/>
          <w:spacing w:val="0"/>
          <w:w w:val="100"/>
          <w:sz w:val="32"/>
          <w:szCs w:val="32"/>
          <w:lang w:val="en-US" w:eastAsia="zh-CN"/>
          <w14:textFill>
            <w14:solidFill>
              <w14:schemeClr w14:val="tx1"/>
            </w14:solidFill>
          </w14:textFill>
        </w:rPr>
      </w:pPr>
      <w:r>
        <w:rPr>
          <w:rFonts w:hint="eastAsia" w:ascii="楷体" w:hAnsi="楷体" w:eastAsia="楷体" w:cs="楷体"/>
          <w:b/>
          <w:bCs/>
          <w:i w:val="0"/>
          <w:caps w:val="0"/>
          <w:color w:val="000000" w:themeColor="text1"/>
          <w:spacing w:val="0"/>
          <w:w w:val="100"/>
          <w:sz w:val="32"/>
          <w:szCs w:val="32"/>
          <w:lang w:val="en-US" w:eastAsia="zh-CN"/>
          <w14:textFill>
            <w14:solidFill>
              <w14:schemeClr w14:val="tx1"/>
            </w14:solidFill>
          </w14:textFill>
        </w:rPr>
        <w:t>（二）2021年区本级预算执行情况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baseline"/>
        <w:rPr>
          <w:rFonts w:hint="eastAsia" w:ascii="仿宋" w:hAnsi="仿宋" w:eastAsia="仿宋" w:cs="仿宋"/>
          <w:b w:val="0"/>
          <w:i w:val="0"/>
          <w:caps w:val="0"/>
          <w:color w:val="000000" w:themeColor="text1"/>
          <w:spacing w:val="0"/>
          <w:w w:val="100"/>
          <w:sz w:val="32"/>
          <w:szCs w:val="32"/>
          <w14:textFill>
            <w14:solidFill>
              <w14:schemeClr w14:val="tx1"/>
            </w14:solidFill>
          </w14:textFill>
        </w:rPr>
      </w:pPr>
      <w:r>
        <w:rPr>
          <w:rFonts w:hint="eastAsia" w:ascii="仿宋" w:hAnsi="仿宋" w:eastAsia="仿宋" w:cs="仿宋"/>
          <w:b/>
          <w:bCs/>
          <w:i w:val="0"/>
          <w:caps w:val="0"/>
          <w:color w:val="000000" w:themeColor="text1"/>
          <w:spacing w:val="0"/>
          <w:w w:val="100"/>
          <w:sz w:val="32"/>
          <w:szCs w:val="32"/>
          <w:lang w:val="en-US" w:eastAsia="zh-CN"/>
          <w14:textFill>
            <w14:solidFill>
              <w14:schemeClr w14:val="tx1"/>
            </w14:solidFill>
          </w14:textFill>
        </w:rPr>
        <w:t>1.区本级一般公共预算执行情况：</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经区四届人大常委会第四十一次会议审议批准的调整后区本级一般公共预算可用财力294038万元，安排支出294019万元，当年度收支结余19万元。区本级一般公共预算总收入490635万元，完成调整后预算收入470430万元的104.3%，同比增收28238</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增长</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6.1</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%，其中：地方一般公共预算收入</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306218</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万元，完成调整后预算收入</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320000</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万元的</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95.7</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%，同比</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增</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收</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30684</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增长</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11.1</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%；上划中央收入</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184417</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万元，完成调整后预算收入</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150430</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万元的</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122.6</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%，同比减收</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2446</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万元，下降</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1.3</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eastAsia" w:ascii="仿宋" w:hAnsi="仿宋" w:eastAsia="仿宋" w:cs="仿宋"/>
          <w:b w:val="0"/>
          <w:i w:val="0"/>
          <w:caps w:val="0"/>
          <w:color w:val="000000" w:themeColor="text1"/>
          <w:spacing w:val="0"/>
          <w:w w:val="100"/>
          <w:sz w:val="32"/>
          <w:szCs w:val="32"/>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14:textFill>
            <w14:solidFill>
              <w14:schemeClr w14:val="tx1"/>
            </w14:solidFill>
          </w14:textFill>
        </w:rPr>
        <w:t>区本级一般公共预算总财力</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368607</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万元，其中：一般公共预算财力及一般转移支付财力</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291684</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万元，上级专项转移支付</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13988</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万元，地方政府一般债务转贷收入</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20607</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万元（其中：</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再融资</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债券</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转贷</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收入</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7984</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万元，新增一般债券</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12500</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外债转贷收入</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123万元</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），上年结转下年支出</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42328</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区本级一般公共预算及债务还本支出341895万元，增长5.9%，其中：一般公共预算支出328588万元，增长10.5%；地方政府一般债务还本支出13307万元，下降57.2%</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安排</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预算稳定调节基金</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4269</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滚存结余22443万元，结转下年支出22443万元。当年度实现收支平衡，控制在区人大常委会审批的盘子之内。</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baseline"/>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bCs/>
          <w:i w:val="0"/>
          <w:caps w:val="0"/>
          <w:color w:val="000000" w:themeColor="text1"/>
          <w:spacing w:val="0"/>
          <w:w w:val="100"/>
          <w:sz w:val="32"/>
          <w:szCs w:val="32"/>
          <w:lang w:val="en-US" w:eastAsia="zh-CN"/>
          <w14:textFill>
            <w14:solidFill>
              <w14:schemeClr w14:val="tx1"/>
            </w14:solidFill>
          </w14:textFill>
        </w:rPr>
        <w:t>2.区本级政府性基金收支情况：</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区本级政府性基金收入13251万元，完成调整后预算收入12025万元的110.2%，上级补助收入115032万元，地方政府专项债务转贷收入308730万元，上年结余50358万元，可动用基金共计487371万元。基金支出268446万元，地方政府专项债务还本支出7375万元，政府性基金预算上解上级支出8万元，政府性基金预算调出资金7434万元。年终滚存结余204108万元，控制在区人大常委会审批的盘子之内。</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baseline"/>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bCs/>
          <w:i w:val="0"/>
          <w:caps w:val="0"/>
          <w:color w:val="000000" w:themeColor="text1"/>
          <w:spacing w:val="0"/>
          <w:w w:val="100"/>
          <w:sz w:val="32"/>
          <w:szCs w:val="32"/>
          <w:lang w:val="en-US" w:eastAsia="zh-CN"/>
          <w14:textFill>
            <w14:solidFill>
              <w14:schemeClr w14:val="tx1"/>
            </w14:solidFill>
          </w14:textFill>
        </w:rPr>
        <w:t>3.区本级国有资本经营收支情况：</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上年结余293万元，区本级国有资本经营收入108万元（荔城区商业集团有限公司上缴利润），完成预算的120%；上级补助收入11万元，国有资本经营预算支出110万元，年末滚存结余302万元。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baseline"/>
        <w:rPr>
          <w:rFonts w:hint="eastAsia" w:ascii="仿宋" w:hAnsi="仿宋" w:eastAsia="仿宋" w:cs="仿宋"/>
          <w:b/>
          <w:bCs/>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bCs/>
          <w:i w:val="0"/>
          <w:caps w:val="0"/>
          <w:color w:val="000000" w:themeColor="text1"/>
          <w:spacing w:val="0"/>
          <w:w w:val="100"/>
          <w:sz w:val="32"/>
          <w:szCs w:val="32"/>
          <w:lang w:val="en-US" w:eastAsia="zh-CN"/>
          <w14:textFill>
            <w14:solidFill>
              <w14:schemeClr w14:val="tx1"/>
            </w14:solidFill>
          </w14:textFill>
        </w:rPr>
        <w:t>4.区本级社会保险基金收支情况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区本级社会保险基金上年结余20202万元，本年收入54149万元，完成预算的95%，增长4.5%，其中：机关事业单位养老保险基金收入33486万元，增长4.8%；城乡居民基本养老保险基金收入20663万元，增长3.9%。</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本年支出50137万元，完成预算的96.6%，增长8.2%，其中：机关事业单位养老保险基金支出33519万元，增长8.8%；城乡居民基本养老保险基金支出16618万元，增长7.2%。</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年末滚存结余24214万元，其中：机关事业单位养老保险基金-13122万元（主要是：2014年10月至2016年12月财政人员全员投保后在职养老金收入与退休人员退休金支出对抵后差额为-22415万元，扣除社保历年基金的结余7690万元，2018年度对抵后差额为-14725万元，扣除2019年当年社会保险基金结余510万元后，2019年度对抵后差额为-14215万元，扣除2020年当年社会保险基金结余1126万元后，扣除2021年当年社会保险基金结余-33万元后，2021年度对抵后差额为-13122万元），城乡居民基本养老保险基金37336万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baseline"/>
        <w:rPr>
          <w:rFonts w:hint="eastAsia" w:ascii="仿宋" w:hAnsi="仿宋" w:eastAsia="仿宋" w:cs="仿宋"/>
          <w:b/>
          <w:bCs/>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bCs/>
          <w:i w:val="0"/>
          <w:caps w:val="0"/>
          <w:color w:val="000000" w:themeColor="text1"/>
          <w:spacing w:val="0"/>
          <w:w w:val="100"/>
          <w:sz w:val="32"/>
          <w:szCs w:val="32"/>
          <w:lang w:val="en-US" w:eastAsia="zh-CN"/>
          <w14:textFill>
            <w14:solidFill>
              <w14:schemeClr w14:val="tx1"/>
            </w14:solidFill>
          </w14:textFill>
        </w:rPr>
        <w:t>5.区本级地方政府债务情况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eastAsia" w:ascii="仿宋" w:hAnsi="仿宋" w:eastAsia="仿宋" w:cs="仿宋"/>
          <w:b w:val="0"/>
          <w:i w:val="0"/>
          <w:caps w:val="0"/>
          <w:color w:val="000000" w:themeColor="text1"/>
          <w:spacing w:val="6"/>
          <w:w w:val="10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2021年区本级地方政府债务年初余额658119万元（一般债务199745万元、专项债务458374万元），当年举借债务335002万元（其中:一般债券26149万元，专项债券308730万元，外债转贷123万元），当年偿还债务20632万元，年末债务余额</w:t>
      </w:r>
      <w:r>
        <w:rPr>
          <w:rFonts w:hint="eastAsia" w:ascii="仿宋" w:hAnsi="仿宋" w:eastAsia="仿宋" w:cs="仿宋"/>
          <w:b w:val="0"/>
          <w:i w:val="0"/>
          <w:caps w:val="0"/>
          <w:color w:val="000000" w:themeColor="text1"/>
          <w:spacing w:val="6"/>
          <w:w w:val="100"/>
          <w:sz w:val="32"/>
          <w:szCs w:val="32"/>
          <w:lang w:val="en-US" w:eastAsia="zh-CN"/>
          <w14:textFill>
            <w14:solidFill>
              <w14:schemeClr w14:val="tx1"/>
            </w14:solidFill>
          </w14:textFill>
        </w:rPr>
        <w:t>972489万元（一般债务212760万元、专项债务759729万元）。债务规模控制在省政府核定的总债务限额1108129万元（其中:一般债务限额242853万元，专项债务限额865276万元）之内。</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baseline"/>
        <w:rPr>
          <w:rFonts w:hint="eastAsia" w:ascii="楷体" w:hAnsi="楷体" w:eastAsia="楷体" w:cs="楷体"/>
          <w:b w:val="0"/>
          <w:i w:val="0"/>
          <w:caps w:val="0"/>
          <w:color w:val="000000" w:themeColor="text1"/>
          <w:spacing w:val="0"/>
          <w:w w:val="100"/>
          <w:sz w:val="32"/>
          <w:szCs w:val="32"/>
          <w:lang w:val="en-US" w:eastAsia="zh-CN"/>
          <w14:textFill>
            <w14:solidFill>
              <w14:schemeClr w14:val="tx1"/>
            </w14:solidFill>
          </w14:textFill>
        </w:rPr>
      </w:pPr>
      <w:r>
        <w:rPr>
          <w:rFonts w:hint="eastAsia" w:ascii="楷体" w:hAnsi="楷体" w:eastAsia="楷体" w:cs="楷体"/>
          <w:b/>
          <w:bCs/>
          <w:i w:val="0"/>
          <w:caps w:val="0"/>
          <w:color w:val="000000" w:themeColor="text1"/>
          <w:spacing w:val="0"/>
          <w:w w:val="100"/>
          <w:sz w:val="32"/>
          <w:szCs w:val="32"/>
          <w:lang w:val="en-US" w:eastAsia="zh-CN"/>
          <w14:textFill>
            <w14:solidFill>
              <w14:schemeClr w14:val="tx1"/>
            </w14:solidFill>
          </w14:textFill>
        </w:rPr>
        <w:t>（三）重点支出与重大投资项目的使用及绩效评价情况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全区财政部门认真贯彻过“紧日子”要求，严格控制一般性支出，集中财力保工资、保运转、保基本民生、保重点项目，坚持绩效先行，把钱用在“刀刃”上，2021年全区民生支出285123万元，占一般公共预算支出的77.6%，比例保持在七成以上，加大对重点领域和关键环节的投入力度，住房保障支出16416万元，增长59.7%；节能减排支出12888万元，增长22.9%；社会保障和就业支出61142万元，增长21.4%；卫生健康支出37875万元，增长13.8%；农林水事务支出29956万元，增长10.8%；教育支出97777万元，增长3.6%。</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积极推进预算绩效管理工作，严格按照党的十九大报告“建立全面规范透明、标准科学、约束有利的预算制度，全面实施绩效管理”的总体要求和《中共中央国务院关于全面实施预算绩效管理的意见》（中发〔2018〕34号）精神，围绕强理念、优机制、扩范围、抓质量、夯基础、求实效，进一步完善“预算编制有目标、预算执行有监控、预算完成有评价、评价结果有反馈、反馈结果有应用”的工作机制，全力推进财政预算绩效管理工作再上新台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baseline"/>
        <w:rPr>
          <w:rFonts w:hint="eastAsia" w:ascii="仿宋" w:hAnsi="仿宋" w:eastAsia="仿宋" w:cs="仿宋"/>
          <w:b/>
          <w:bCs/>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bCs/>
          <w:i w:val="0"/>
          <w:caps w:val="0"/>
          <w:color w:val="000000" w:themeColor="text1"/>
          <w:spacing w:val="0"/>
          <w:w w:val="100"/>
          <w:sz w:val="32"/>
          <w:szCs w:val="32"/>
          <w:lang w:val="en-US" w:eastAsia="zh-CN"/>
          <w14:textFill>
            <w14:solidFill>
              <w14:schemeClr w14:val="tx1"/>
            </w14:solidFill>
          </w14:textFill>
        </w:rPr>
        <w:t>1.夯实基础工作，筑牢绩效管理根基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一是明确目标任务。根据2019年区委区政府印发《关于全面实施预算绩效管理的实施意见》（荔委发〔2019〕5号）文件精神，到2022年底,基本建成全方位、全过程、全覆盖的预算绩效管理体系的目标任务；二是完善绩效管理制度建设。制定事前绩效评估办法、绩效目标管理办法、绩效监控办法、绩效评价管理办法、预算绩效管理工作规程等，形成涵盖目标管理、运行监控、绩效评价、结果应用四个环节及内部管理的预算绩效管理制度体系，截至2021年底，区直68个部门均制定了本部门的绩效管理制度或者方案；三是推进绩效管理信息化进程。不断完善预算绩效管理信息系统，把信息系统作为绩效管理提升的重要抓手。从原先的“预算绩效管理信息系统”，到现在新上线的“财政一体化”系统，不断提升预算绩效管理工作精准性和导向性；四是推动分行业分领域绩效指标和标准体系的建立。绩效指标和标准体系是全面实施绩效管理的基础，继续推进区直各部门绩效指标整理，建立绩效指标和标准体系，系统已收录5320条绩效指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baseline"/>
        <w:rPr>
          <w:rFonts w:hint="eastAsia" w:ascii="仿宋" w:hAnsi="仿宋" w:eastAsia="仿宋" w:cs="仿宋"/>
          <w:b/>
          <w:bCs/>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bCs/>
          <w:i w:val="0"/>
          <w:caps w:val="0"/>
          <w:color w:val="000000" w:themeColor="text1"/>
          <w:spacing w:val="0"/>
          <w:w w:val="100"/>
          <w:sz w:val="32"/>
          <w:szCs w:val="32"/>
          <w:lang w:val="en-US" w:eastAsia="zh-CN"/>
          <w14:textFill>
            <w14:solidFill>
              <w14:schemeClr w14:val="tx1"/>
            </w14:solidFill>
          </w14:textFill>
        </w:rPr>
        <w:t>2.深化绩效管理，强化预算绩效管理约束力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一是把好绩效管理关口。2021年开展事前绩效评估项目60个，合计金额89562万元。入库的所有预算项目必须同步申报绩效目标，未入库的项目不得纳入年度预算，做到先有绩效目标，方有预算指标；二是绩效管理向两维扩展。预算绩效管理从一般公共预算拓展到了政府性基金预算、社保基金预算和国有资本经营预算。覆盖深度上，全面推动68个区直部门开展整体绩效管理工作,覆盖金额49.766亿元。切实提高部门履职效能和公共服务质量；三是绩效管理向事中聚焦。充分运用财政信息一体化系统、预算绩效管理系统等，对纳入绩效目标管理的584个项目，覆盖金额39.79亿元。进行全过程“双监控”，跟踪查找薄弱环节，及时堵塞管理“漏洞”，及时纠偏。2021年预算调整，根据“双监控”结果，共调减年初预算安排的39个项目，收回资金1819万元，调增123个项目，安排资金17416万元，提高了财政资金效益；四是开展财政评价。引入第三方机构开展重点评价，成立评价专家小组对项目进行客观评价，总体来看，评价项目成效明显，但也发现了个别部门预算执行情况与部门绩效管理机制缺乏有机结合，执行力有待提高；五是绩效信息公开力度不断加大。要求部门将除涉密项目外的项目绩效目标及其自评结果，与预决算公开一并同步向社会公开，接受社会各界的监督；六是加强绩效管理业务培训。组织预算单位开展预算绩效业务培训，不断提升绩效管理人员的业务素质和工作能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楷体" w:hAnsi="楷体" w:eastAsia="楷体" w:cs="楷体"/>
          <w:b/>
          <w:bCs/>
          <w:i w:val="0"/>
          <w:caps w:val="0"/>
          <w:color w:val="000000" w:themeColor="text1"/>
          <w:spacing w:val="0"/>
          <w:w w:val="100"/>
          <w:sz w:val="32"/>
          <w:szCs w:val="32"/>
          <w:lang w:val="en-US" w:eastAsia="zh-CN"/>
          <w14:textFill>
            <w14:solidFill>
              <w14:schemeClr w14:val="tx1"/>
            </w14:solidFill>
          </w14:textFill>
        </w:rPr>
      </w:pPr>
      <w:r>
        <w:rPr>
          <w:rFonts w:hint="eastAsia" w:ascii="楷体" w:hAnsi="楷体" w:eastAsia="楷体" w:cs="楷体"/>
          <w:b/>
          <w:bCs/>
          <w:i w:val="0"/>
          <w:caps w:val="0"/>
          <w:color w:val="000000" w:themeColor="text1"/>
          <w:spacing w:val="0"/>
          <w:w w:val="100"/>
          <w:sz w:val="32"/>
          <w:szCs w:val="32"/>
          <w:lang w:val="en-US" w:eastAsia="zh-CN"/>
          <w14:textFill>
            <w14:solidFill>
              <w14:schemeClr w14:val="tx1"/>
            </w14:solidFill>
          </w14:textFill>
        </w:rPr>
        <w:t>(四）国有资本运营管理情况</w:t>
      </w:r>
    </w:p>
    <w:p>
      <w:pPr>
        <w:pStyle w:val="2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baseline"/>
        <w:rPr>
          <w:rFonts w:hint="eastAsia" w:ascii="仿宋" w:hAnsi="仿宋" w:eastAsia="仿宋" w:cs="仿宋"/>
          <w:b/>
          <w:bCs/>
          <w:i w:val="0"/>
          <w:caps w:val="0"/>
          <w:color w:val="000000" w:themeColor="text1"/>
          <w:spacing w:val="0"/>
          <w:w w:val="100"/>
          <w:sz w:val="32"/>
          <w:szCs w:val="32"/>
          <w14:textFill>
            <w14:solidFill>
              <w14:schemeClr w14:val="tx1"/>
            </w14:solidFill>
          </w14:textFill>
        </w:rPr>
      </w:pPr>
      <w:r>
        <w:rPr>
          <w:rFonts w:hint="eastAsia" w:ascii="仿宋" w:hAnsi="仿宋" w:eastAsia="仿宋" w:cs="仿宋"/>
          <w:b/>
          <w:bCs/>
          <w:i w:val="0"/>
          <w:caps w:val="0"/>
          <w:color w:val="000000" w:themeColor="text1"/>
          <w:spacing w:val="0"/>
          <w:w w:val="100"/>
          <w:sz w:val="32"/>
          <w:szCs w:val="32"/>
          <w:lang w:val="en-US" w:eastAsia="zh-CN"/>
          <w14:textFill>
            <w14:solidFill>
              <w14:schemeClr w14:val="tx1"/>
            </w14:solidFill>
          </w14:textFill>
        </w:rPr>
        <w:t>1.</w:t>
      </w:r>
      <w:r>
        <w:rPr>
          <w:rFonts w:hint="eastAsia" w:ascii="仿宋" w:hAnsi="仿宋" w:eastAsia="仿宋" w:cs="仿宋"/>
          <w:b/>
          <w:bCs/>
          <w:i w:val="0"/>
          <w:caps w:val="0"/>
          <w:color w:val="000000" w:themeColor="text1"/>
          <w:spacing w:val="0"/>
          <w:w w:val="100"/>
          <w:sz w:val="32"/>
          <w:szCs w:val="32"/>
          <w14:textFill>
            <w14:solidFill>
              <w14:schemeClr w14:val="tx1"/>
            </w14:solidFill>
          </w14:textFill>
        </w:rPr>
        <w:t>基本情况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eastAsia" w:ascii="仿宋" w:hAnsi="仿宋" w:eastAsia="仿宋" w:cs="仿宋"/>
          <w:b w:val="0"/>
          <w:i w:val="0"/>
          <w:caps w:val="0"/>
          <w:color w:val="000000" w:themeColor="text1"/>
          <w:spacing w:val="0"/>
          <w:w w:val="100"/>
          <w:kern w:val="0"/>
          <w:sz w:val="32"/>
          <w:szCs w:val="32"/>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14:textFill>
            <w14:solidFill>
              <w14:schemeClr w14:val="tx1"/>
            </w14:solidFill>
          </w14:textFill>
        </w:rPr>
        <w:t>根据202</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年度资产年报报表，截至202</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年12月</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全区</w:t>
      </w:r>
      <w:r>
        <w:rPr>
          <w:rFonts w:hint="eastAsia" w:ascii="仿宋" w:hAnsi="仿宋" w:eastAsia="仿宋" w:cs="仿宋"/>
          <w:b w:val="0"/>
          <w:i w:val="0"/>
          <w:caps w:val="0"/>
          <w:color w:val="000000" w:themeColor="text1"/>
          <w:spacing w:val="0"/>
          <w:w w:val="100"/>
          <w:kern w:val="0"/>
          <w:sz w:val="32"/>
          <w:szCs w:val="32"/>
          <w14:textFill>
            <w14:solidFill>
              <w14:schemeClr w14:val="tx1"/>
            </w14:solidFill>
          </w14:textFill>
        </w:rPr>
        <w:t>行政事业单位机构数</w:t>
      </w:r>
      <w:r>
        <w:rPr>
          <w:rFonts w:hint="eastAsia" w:ascii="仿宋" w:hAnsi="仿宋" w:eastAsia="仿宋" w:cs="仿宋"/>
          <w:b w:val="0"/>
          <w:i w:val="0"/>
          <w:caps w:val="0"/>
          <w:color w:val="000000" w:themeColor="text1"/>
          <w:spacing w:val="0"/>
          <w:w w:val="100"/>
          <w:kern w:val="0"/>
          <w:sz w:val="32"/>
          <w:szCs w:val="32"/>
          <w:lang w:val="en-US" w:eastAsia="zh-CN"/>
          <w14:textFill>
            <w14:solidFill>
              <w14:schemeClr w14:val="tx1"/>
            </w14:solidFill>
          </w14:textFill>
        </w:rPr>
        <w:t>332个，其中：行政机构64个；</w:t>
      </w:r>
      <w:r>
        <w:rPr>
          <w:rFonts w:hint="eastAsia" w:ascii="仿宋" w:hAnsi="仿宋" w:eastAsia="仿宋" w:cs="仿宋"/>
          <w:b w:val="0"/>
          <w:i w:val="0"/>
          <w:caps w:val="0"/>
          <w:color w:val="000000" w:themeColor="text1"/>
          <w:spacing w:val="0"/>
          <w:w w:val="100"/>
          <w:kern w:val="0"/>
          <w:sz w:val="32"/>
          <w:szCs w:val="32"/>
          <w14:textFill>
            <w14:solidFill>
              <w14:schemeClr w14:val="tx1"/>
            </w14:solidFill>
          </w14:textFill>
        </w:rPr>
        <w:t>编制人数</w:t>
      </w:r>
      <w:r>
        <w:rPr>
          <w:rFonts w:hint="eastAsia" w:ascii="仿宋" w:hAnsi="仿宋" w:eastAsia="仿宋" w:cs="仿宋"/>
          <w:b w:val="0"/>
          <w:i w:val="0"/>
          <w:caps w:val="0"/>
          <w:color w:val="000000" w:themeColor="text1"/>
          <w:spacing w:val="0"/>
          <w:w w:val="100"/>
          <w:kern w:val="0"/>
          <w:sz w:val="32"/>
          <w:szCs w:val="32"/>
          <w:lang w:val="en-US" w:eastAsia="zh-CN"/>
          <w14:textFill>
            <w14:solidFill>
              <w14:schemeClr w14:val="tx1"/>
            </w14:solidFill>
          </w14:textFill>
        </w:rPr>
        <w:t>9575人</w:t>
      </w:r>
      <w:r>
        <w:rPr>
          <w:rFonts w:hint="eastAsia" w:ascii="仿宋" w:hAnsi="仿宋" w:eastAsia="仿宋" w:cs="仿宋"/>
          <w:b w:val="0"/>
          <w:i w:val="0"/>
          <w:caps w:val="0"/>
          <w:color w:val="000000" w:themeColor="text1"/>
          <w:spacing w:val="0"/>
          <w:w w:val="100"/>
          <w:kern w:val="0"/>
          <w:sz w:val="32"/>
          <w:szCs w:val="32"/>
          <w:lang w:eastAsia="zh-CN"/>
          <w14:textFill>
            <w14:solidFill>
              <w14:schemeClr w14:val="tx1"/>
            </w14:solidFill>
          </w14:textFill>
        </w:rPr>
        <w:t>，</w:t>
      </w:r>
      <w:r>
        <w:rPr>
          <w:rFonts w:hint="eastAsia" w:ascii="仿宋" w:hAnsi="仿宋" w:eastAsia="仿宋" w:cs="仿宋"/>
          <w:b w:val="0"/>
          <w:i w:val="0"/>
          <w:caps w:val="0"/>
          <w:color w:val="000000" w:themeColor="text1"/>
          <w:spacing w:val="0"/>
          <w:w w:val="100"/>
          <w:kern w:val="0"/>
          <w:sz w:val="32"/>
          <w:szCs w:val="32"/>
          <w:lang w:val="en-US" w:eastAsia="zh-CN"/>
          <w14:textFill>
            <w14:solidFill>
              <w14:schemeClr w14:val="tx1"/>
            </w14:solidFill>
          </w14:textFill>
        </w:rPr>
        <w:t>其中：行政人员675人；</w:t>
      </w:r>
      <w:r>
        <w:rPr>
          <w:rFonts w:hint="eastAsia" w:ascii="仿宋" w:hAnsi="仿宋" w:eastAsia="仿宋" w:cs="仿宋"/>
          <w:b w:val="0"/>
          <w:i w:val="0"/>
          <w:caps w:val="0"/>
          <w:color w:val="000000" w:themeColor="text1"/>
          <w:spacing w:val="0"/>
          <w:w w:val="100"/>
          <w:kern w:val="0"/>
          <w:sz w:val="32"/>
          <w:szCs w:val="32"/>
          <w14:textFill>
            <w14:solidFill>
              <w14:schemeClr w14:val="tx1"/>
            </w14:solidFill>
          </w14:textFill>
        </w:rPr>
        <w:t>实有人数</w:t>
      </w:r>
      <w:r>
        <w:rPr>
          <w:rFonts w:hint="eastAsia" w:ascii="仿宋" w:hAnsi="仿宋" w:eastAsia="仿宋" w:cs="仿宋"/>
          <w:b w:val="0"/>
          <w:i w:val="0"/>
          <w:caps w:val="0"/>
          <w:color w:val="000000" w:themeColor="text1"/>
          <w:spacing w:val="0"/>
          <w:w w:val="100"/>
          <w:kern w:val="0"/>
          <w:sz w:val="32"/>
          <w:szCs w:val="32"/>
          <w:lang w:val="en-US" w:eastAsia="zh-CN"/>
          <w14:textFill>
            <w14:solidFill>
              <w14:schemeClr w14:val="tx1"/>
            </w14:solidFill>
          </w14:textFill>
        </w:rPr>
        <w:t>9109人，其中：行政人员685人</w:t>
      </w:r>
      <w:r>
        <w:rPr>
          <w:rFonts w:hint="eastAsia" w:ascii="仿宋" w:hAnsi="仿宋" w:eastAsia="仿宋" w:cs="仿宋"/>
          <w:b w:val="0"/>
          <w:i w:val="0"/>
          <w:caps w:val="0"/>
          <w:color w:val="000000" w:themeColor="text1"/>
          <w:spacing w:val="0"/>
          <w:w w:val="100"/>
          <w:kern w:val="0"/>
          <w:sz w:val="32"/>
          <w:szCs w:val="32"/>
          <w14:textFill>
            <w14:solidFill>
              <w14:schemeClr w14:val="tx1"/>
            </w14:solidFill>
          </w14:textFill>
        </w:rPr>
        <w:t>。</w:t>
      </w:r>
    </w:p>
    <w:p>
      <w:pPr>
        <w:pStyle w:val="2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baseline"/>
        <w:rPr>
          <w:rFonts w:hint="eastAsia" w:ascii="仿宋" w:hAnsi="仿宋" w:eastAsia="仿宋" w:cs="仿宋"/>
          <w:b w:val="0"/>
          <w:i w:val="0"/>
          <w:caps w:val="0"/>
          <w:color w:val="000000" w:themeColor="text1"/>
          <w:spacing w:val="0"/>
          <w:w w:val="100"/>
          <w:sz w:val="32"/>
          <w:szCs w:val="32"/>
          <w14:textFill>
            <w14:solidFill>
              <w14:schemeClr w14:val="tx1"/>
            </w14:solidFill>
          </w14:textFill>
        </w:rPr>
      </w:pPr>
      <w:r>
        <w:rPr>
          <w:rFonts w:hint="eastAsia" w:ascii="仿宋" w:hAnsi="仿宋" w:eastAsia="仿宋" w:cs="仿宋"/>
          <w:b/>
          <w:bCs/>
          <w:i w:val="0"/>
          <w:caps w:val="0"/>
          <w:color w:val="000000" w:themeColor="text1"/>
          <w:spacing w:val="0"/>
          <w:w w:val="100"/>
          <w:sz w:val="32"/>
          <w:szCs w:val="32"/>
          <w:lang w:val="en-US" w:eastAsia="zh-CN"/>
          <w14:textFill>
            <w14:solidFill>
              <w14:schemeClr w14:val="tx1"/>
            </w14:solidFill>
          </w14:textFill>
        </w:rPr>
        <w:t>2.</w:t>
      </w:r>
      <w:r>
        <w:rPr>
          <w:rFonts w:hint="eastAsia" w:ascii="仿宋" w:hAnsi="仿宋" w:eastAsia="仿宋" w:cs="仿宋"/>
          <w:b/>
          <w:bCs/>
          <w:i w:val="0"/>
          <w:caps w:val="0"/>
          <w:color w:val="000000" w:themeColor="text1"/>
          <w:spacing w:val="0"/>
          <w:w w:val="100"/>
          <w:sz w:val="32"/>
          <w:szCs w:val="32"/>
          <w14:textFill>
            <w14:solidFill>
              <w14:schemeClr w14:val="tx1"/>
            </w14:solidFill>
          </w14:textFill>
        </w:rPr>
        <w:t>资产情况分析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eastAsia" w:ascii="仿宋" w:hAnsi="仿宋" w:eastAsia="仿宋" w:cs="仿宋"/>
          <w:b w:val="0"/>
          <w:i w:val="0"/>
          <w:caps w:val="0"/>
          <w:color w:val="000000" w:themeColor="text1"/>
          <w:spacing w:val="0"/>
          <w:w w:val="100"/>
          <w:sz w:val="32"/>
          <w:szCs w:val="32"/>
          <w:highlight w:val="yellow"/>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14:textFill>
            <w14:solidFill>
              <w14:schemeClr w14:val="tx1"/>
            </w14:solidFill>
          </w14:textFill>
        </w:rPr>
        <w:t>根据20</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21</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年度资产年报报表，截至202</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年12月，全区行政事业单位资产总额</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504916.8</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万元，其中：流动资产</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95711.31万元，占18.95%</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无形资产</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8930.46万元，占1.77%</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固定资产</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208361.31</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占41.27%</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在建工程</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18008.62万元，占3.57%</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公共基础设施</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226158.02万元，占44.79%</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。净资产合计</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436650.28</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万元，负债总计</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68266.52</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万元</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723" w:firstLineChars="225"/>
        <w:jc w:val="both"/>
        <w:textAlignment w:val="baseline"/>
        <w:rPr>
          <w:rFonts w:hint="eastAsia" w:ascii="仿宋" w:hAnsi="仿宋" w:eastAsia="仿宋" w:cs="仿宋"/>
          <w:b w:val="0"/>
          <w:i w:val="0"/>
          <w:caps w:val="0"/>
          <w:color w:val="000000" w:themeColor="text1"/>
          <w:spacing w:val="0"/>
          <w:w w:val="100"/>
          <w:sz w:val="32"/>
          <w:szCs w:val="32"/>
          <w14:textFill>
            <w14:solidFill>
              <w14:schemeClr w14:val="tx1"/>
            </w14:solidFill>
          </w14:textFill>
        </w:rPr>
      </w:pPr>
      <w:r>
        <w:rPr>
          <w:rFonts w:hint="eastAsia" w:ascii="仿宋" w:hAnsi="仿宋" w:eastAsia="仿宋" w:cs="仿宋"/>
          <w:b/>
          <w:bCs/>
          <w:i w:val="0"/>
          <w:caps w:val="0"/>
          <w:color w:val="000000" w:themeColor="text1"/>
          <w:spacing w:val="0"/>
          <w:w w:val="100"/>
          <w:sz w:val="32"/>
          <w:szCs w:val="32"/>
          <w:lang w:val="en-US" w:eastAsia="zh-CN"/>
          <w14:textFill>
            <w14:solidFill>
              <w14:schemeClr w14:val="tx1"/>
            </w14:solidFill>
          </w14:textFill>
        </w:rPr>
        <w:t>3.</w:t>
      </w:r>
      <w:r>
        <w:rPr>
          <w:rFonts w:hint="eastAsia" w:ascii="仿宋" w:hAnsi="仿宋" w:eastAsia="仿宋" w:cs="仿宋"/>
          <w:b/>
          <w:bCs/>
          <w:i w:val="0"/>
          <w:caps w:val="0"/>
          <w:color w:val="000000" w:themeColor="text1"/>
          <w:spacing w:val="0"/>
          <w:w w:val="100"/>
          <w:sz w:val="32"/>
          <w:szCs w:val="32"/>
          <w14:textFill>
            <w14:solidFill>
              <w14:schemeClr w14:val="tx1"/>
            </w14:solidFill>
          </w14:textFill>
        </w:rPr>
        <w:t>资产管理工作情况</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baseline"/>
        <w:rPr>
          <w:rFonts w:hint="eastAsia" w:ascii="仿宋" w:hAnsi="仿宋" w:eastAsia="仿宋" w:cs="仿宋"/>
          <w:b w:val="0"/>
          <w:i w:val="0"/>
          <w:caps w:val="0"/>
          <w:color w:val="000000" w:themeColor="text1"/>
          <w:spacing w:val="0"/>
          <w:w w:val="100"/>
          <w:sz w:val="32"/>
          <w:szCs w:val="32"/>
          <w14:textFill>
            <w14:solidFill>
              <w14:schemeClr w14:val="tx1"/>
            </w14:solidFill>
          </w14:textFill>
        </w:rPr>
      </w:pPr>
      <w:r>
        <w:rPr>
          <w:rFonts w:hint="eastAsia" w:ascii="仿宋" w:hAnsi="仿宋" w:eastAsia="仿宋" w:cs="仿宋"/>
          <w:b/>
          <w:i w:val="0"/>
          <w:caps w:val="0"/>
          <w:color w:val="000000" w:themeColor="text1"/>
          <w:spacing w:val="0"/>
          <w:w w:val="100"/>
          <w:sz w:val="32"/>
          <w:szCs w:val="32"/>
          <w:lang w:eastAsia="zh-CN"/>
          <w14:textFill>
            <w14:solidFill>
              <w14:schemeClr w14:val="tx1"/>
            </w14:solidFill>
          </w14:textFill>
        </w:rPr>
        <w:t>（</w:t>
      </w:r>
      <w:r>
        <w:rPr>
          <w:rFonts w:hint="eastAsia" w:ascii="仿宋" w:hAnsi="仿宋" w:eastAsia="仿宋" w:cs="仿宋"/>
          <w:b/>
          <w:i w:val="0"/>
          <w:caps w:val="0"/>
          <w:color w:val="000000" w:themeColor="text1"/>
          <w:spacing w:val="0"/>
          <w:w w:val="100"/>
          <w:sz w:val="32"/>
          <w:szCs w:val="32"/>
          <w:lang w:val="en-US" w:eastAsia="zh-CN"/>
          <w14:textFill>
            <w14:solidFill>
              <w14:schemeClr w14:val="tx1"/>
            </w14:solidFill>
          </w14:textFill>
        </w:rPr>
        <w:t>1</w:t>
      </w:r>
      <w:r>
        <w:rPr>
          <w:rFonts w:hint="eastAsia" w:ascii="仿宋" w:hAnsi="仿宋" w:eastAsia="仿宋" w:cs="仿宋"/>
          <w:b/>
          <w:i w:val="0"/>
          <w:caps w:val="0"/>
          <w:color w:val="000000" w:themeColor="text1"/>
          <w:spacing w:val="0"/>
          <w:w w:val="100"/>
          <w:sz w:val="32"/>
          <w:szCs w:val="32"/>
          <w:lang w:eastAsia="zh-CN"/>
          <w14:textFill>
            <w14:solidFill>
              <w14:schemeClr w14:val="tx1"/>
            </w14:solidFill>
          </w14:textFill>
        </w:rPr>
        <w:t>）</w:t>
      </w:r>
      <w:r>
        <w:rPr>
          <w:rFonts w:hint="eastAsia" w:ascii="仿宋" w:hAnsi="仿宋" w:eastAsia="仿宋" w:cs="仿宋"/>
          <w:b/>
          <w:i w:val="0"/>
          <w:caps w:val="0"/>
          <w:color w:val="000000" w:themeColor="text1"/>
          <w:spacing w:val="0"/>
          <w:w w:val="100"/>
          <w:sz w:val="32"/>
          <w:szCs w:val="32"/>
          <w14:textFill>
            <w14:solidFill>
              <w14:schemeClr w14:val="tx1"/>
            </w14:solidFill>
          </w14:textFill>
        </w:rPr>
        <w:t>夯实资产基础数据</w:t>
      </w:r>
      <w:r>
        <w:rPr>
          <w:rFonts w:hint="eastAsia" w:ascii="仿宋" w:hAnsi="仿宋" w:eastAsia="仿宋" w:cs="仿宋"/>
          <w:b/>
          <w:i w:val="0"/>
          <w:caps w:val="0"/>
          <w:color w:val="000000" w:themeColor="text1"/>
          <w:spacing w:val="0"/>
          <w:w w:val="100"/>
          <w:sz w:val="32"/>
          <w:szCs w:val="32"/>
          <w:lang w:eastAsia="zh-CN"/>
          <w14:textFill>
            <w14:solidFill>
              <w14:schemeClr w14:val="tx1"/>
            </w14:solidFill>
          </w14:textFill>
        </w:rPr>
        <w:t>。</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切实采取有效措施，夯实数据基础，着力提升行政事业性国有资产报告质量。依托行政事业单位资产管理信息系统，及时做好新增资产登记入账、报废资产处置核销、存量资产定期盘点清查等工作，做到账账一致、账实一致。严格按照要求，做好行政事业国有资产报告工作</w:t>
      </w:r>
      <w:r>
        <w:rPr>
          <w:rFonts w:hint="eastAsia" w:ascii="仿宋" w:hAnsi="仿宋" w:eastAsia="仿宋" w:cs="仿宋"/>
          <w:b w:val="0"/>
          <w:i w:val="0"/>
          <w:caps w:val="0"/>
          <w:color w:val="000000" w:themeColor="text1"/>
          <w:spacing w:val="0"/>
          <w:w w:val="100"/>
          <w:sz w:val="32"/>
          <w:szCs w:val="32"/>
          <w:lang w:eastAsia="zh-CN"/>
          <w14:textFill>
            <w14:solidFill>
              <w14:schemeClr w14:val="tx1"/>
            </w14:solidFill>
          </w14:textFill>
        </w:rPr>
        <w:t>、</w:t>
      </w:r>
      <w:r>
        <w:rPr>
          <w:rFonts w:hint="eastAsia" w:ascii="仿宋" w:hAnsi="仿宋" w:eastAsia="仿宋" w:cs="仿宋"/>
          <w:b w:val="0"/>
          <w:i w:val="0"/>
          <w:caps w:val="0"/>
          <w:color w:val="000000" w:themeColor="text1"/>
          <w:spacing w:val="0"/>
          <w:w w:val="100"/>
          <w:sz w:val="32"/>
          <w:szCs w:val="32"/>
          <w14:textFill>
            <w14:solidFill>
              <w14:schemeClr w14:val="tx1"/>
            </w14:solidFill>
          </w14:textFill>
        </w:rPr>
        <w:t>行政事业性资产报表统计工作和行政事业性国有资产月报试编工作，全面准确摸清行政事业性国有资产家底。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baseline"/>
        <w:rPr>
          <w:rFonts w:hint="eastAsia" w:ascii="仿宋" w:hAnsi="仿宋" w:eastAsia="仿宋" w:cs="仿宋"/>
          <w:b w:val="0"/>
          <w:i w:val="0"/>
          <w:caps w:val="0"/>
          <w:color w:val="000000" w:themeColor="text1"/>
          <w:spacing w:val="0"/>
          <w:w w:val="100"/>
          <w:kern w:val="0"/>
          <w:sz w:val="32"/>
          <w:szCs w:val="32"/>
          <w:lang w:eastAsia="zh-CN"/>
          <w14:textFill>
            <w14:solidFill>
              <w14:schemeClr w14:val="tx1"/>
            </w14:solidFill>
          </w14:textFill>
        </w:rPr>
      </w:pPr>
      <w:r>
        <w:rPr>
          <w:rFonts w:hint="eastAsia" w:ascii="仿宋" w:hAnsi="仿宋" w:eastAsia="仿宋" w:cs="仿宋"/>
          <w:b/>
          <w:i w:val="0"/>
          <w:caps w:val="0"/>
          <w:color w:val="000000" w:themeColor="text1"/>
          <w:spacing w:val="0"/>
          <w:w w:val="100"/>
          <w:kern w:val="0"/>
          <w:sz w:val="32"/>
          <w:szCs w:val="32"/>
          <w14:textFill>
            <w14:solidFill>
              <w14:schemeClr w14:val="tx1"/>
            </w14:solidFill>
          </w14:textFill>
        </w:rPr>
        <w:t>（</w:t>
      </w:r>
      <w:r>
        <w:rPr>
          <w:rFonts w:hint="eastAsia" w:ascii="仿宋" w:hAnsi="仿宋" w:eastAsia="仿宋" w:cs="仿宋"/>
          <w:b/>
          <w:i w:val="0"/>
          <w:caps w:val="0"/>
          <w:color w:val="000000" w:themeColor="text1"/>
          <w:spacing w:val="0"/>
          <w:w w:val="100"/>
          <w:kern w:val="0"/>
          <w:sz w:val="32"/>
          <w:szCs w:val="32"/>
          <w:lang w:val="en-US" w:eastAsia="zh-CN"/>
          <w14:textFill>
            <w14:solidFill>
              <w14:schemeClr w14:val="tx1"/>
            </w14:solidFill>
          </w14:textFill>
        </w:rPr>
        <w:t>2</w:t>
      </w:r>
      <w:r>
        <w:rPr>
          <w:rFonts w:hint="eastAsia" w:ascii="仿宋" w:hAnsi="仿宋" w:eastAsia="仿宋" w:cs="仿宋"/>
          <w:b/>
          <w:i w:val="0"/>
          <w:caps w:val="0"/>
          <w:color w:val="000000" w:themeColor="text1"/>
          <w:spacing w:val="0"/>
          <w:w w:val="100"/>
          <w:kern w:val="0"/>
          <w:sz w:val="32"/>
          <w:szCs w:val="32"/>
          <w14:textFill>
            <w14:solidFill>
              <w14:schemeClr w14:val="tx1"/>
            </w14:solidFill>
          </w14:textFill>
        </w:rPr>
        <w:t>）完善资产管理制度</w:t>
      </w:r>
      <w:r>
        <w:rPr>
          <w:rFonts w:hint="eastAsia" w:ascii="仿宋" w:hAnsi="仿宋" w:eastAsia="仿宋" w:cs="仿宋"/>
          <w:b/>
          <w:i w:val="0"/>
          <w:caps w:val="0"/>
          <w:color w:val="000000" w:themeColor="text1"/>
          <w:spacing w:val="0"/>
          <w:w w:val="100"/>
          <w:kern w:val="0"/>
          <w:sz w:val="32"/>
          <w:szCs w:val="32"/>
          <w:lang w:eastAsia="zh-CN"/>
          <w14:textFill>
            <w14:solidFill>
              <w14:schemeClr w14:val="tx1"/>
            </w14:solidFill>
          </w14:textFill>
        </w:rPr>
        <w:t>。</w:t>
      </w:r>
      <w:r>
        <w:rPr>
          <w:rFonts w:hint="eastAsia" w:ascii="仿宋" w:hAnsi="仿宋" w:eastAsia="仿宋" w:cs="仿宋"/>
          <w:b w:val="0"/>
          <w:i w:val="0"/>
          <w:caps w:val="0"/>
          <w:color w:val="000000" w:themeColor="text1"/>
          <w:spacing w:val="0"/>
          <w:w w:val="100"/>
          <w:kern w:val="0"/>
          <w:sz w:val="32"/>
          <w:szCs w:val="32"/>
          <w14:textFill>
            <w14:solidFill>
              <w14:schemeClr w14:val="tx1"/>
            </w14:solidFill>
          </w14:textFill>
        </w:rPr>
        <w:t>制定出台了《关于进一步规范和加强区直行政事业单位国有资产管理的通知》，明确资产配置、使用、处置、收益等环节的管理要求。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baseline"/>
        <w:rPr>
          <w:rFonts w:hint="eastAsia" w:ascii="仿宋" w:hAnsi="仿宋" w:eastAsia="仿宋" w:cs="仿宋"/>
          <w:b w:val="0"/>
          <w:i w:val="0"/>
          <w:caps w:val="0"/>
          <w:color w:val="000000" w:themeColor="text1"/>
          <w:spacing w:val="0"/>
          <w:w w:val="100"/>
          <w:kern w:val="0"/>
          <w:sz w:val="32"/>
          <w:szCs w:val="32"/>
          <w14:textFill>
            <w14:solidFill>
              <w14:schemeClr w14:val="tx1"/>
            </w14:solidFill>
          </w14:textFill>
        </w:rPr>
      </w:pPr>
      <w:r>
        <w:rPr>
          <w:rFonts w:hint="eastAsia" w:ascii="仿宋" w:hAnsi="仿宋" w:eastAsia="仿宋" w:cs="仿宋"/>
          <w:b/>
          <w:i w:val="0"/>
          <w:caps w:val="0"/>
          <w:color w:val="000000" w:themeColor="text1"/>
          <w:spacing w:val="0"/>
          <w:w w:val="100"/>
          <w:kern w:val="0"/>
          <w:sz w:val="32"/>
          <w:szCs w:val="32"/>
          <w14:textFill>
            <w14:solidFill>
              <w14:schemeClr w14:val="tx1"/>
            </w14:solidFill>
          </w14:textFill>
        </w:rPr>
        <w:t>（</w:t>
      </w:r>
      <w:r>
        <w:rPr>
          <w:rFonts w:hint="eastAsia" w:ascii="仿宋" w:hAnsi="仿宋" w:eastAsia="仿宋" w:cs="仿宋"/>
          <w:b/>
          <w:i w:val="0"/>
          <w:caps w:val="0"/>
          <w:color w:val="000000" w:themeColor="text1"/>
          <w:spacing w:val="0"/>
          <w:w w:val="100"/>
          <w:kern w:val="0"/>
          <w:sz w:val="32"/>
          <w:szCs w:val="32"/>
          <w:lang w:val="en-US" w:eastAsia="zh-CN"/>
          <w14:textFill>
            <w14:solidFill>
              <w14:schemeClr w14:val="tx1"/>
            </w14:solidFill>
          </w14:textFill>
        </w:rPr>
        <w:t>3</w:t>
      </w:r>
      <w:r>
        <w:rPr>
          <w:rFonts w:hint="eastAsia" w:ascii="仿宋" w:hAnsi="仿宋" w:eastAsia="仿宋" w:cs="仿宋"/>
          <w:b/>
          <w:i w:val="0"/>
          <w:caps w:val="0"/>
          <w:color w:val="000000" w:themeColor="text1"/>
          <w:spacing w:val="0"/>
          <w:w w:val="100"/>
          <w:kern w:val="0"/>
          <w:sz w:val="32"/>
          <w:szCs w:val="32"/>
          <w14:textFill>
            <w14:solidFill>
              <w14:schemeClr w14:val="tx1"/>
            </w14:solidFill>
          </w14:textFill>
        </w:rPr>
        <w:t>）完善资产购置管理制度</w:t>
      </w:r>
      <w:r>
        <w:rPr>
          <w:rFonts w:hint="eastAsia" w:ascii="仿宋" w:hAnsi="仿宋" w:eastAsia="仿宋" w:cs="仿宋"/>
          <w:b/>
          <w:i w:val="0"/>
          <w:caps w:val="0"/>
          <w:color w:val="000000" w:themeColor="text1"/>
          <w:spacing w:val="0"/>
          <w:w w:val="100"/>
          <w:kern w:val="0"/>
          <w:sz w:val="32"/>
          <w:szCs w:val="32"/>
          <w:lang w:eastAsia="zh-CN"/>
          <w14:textFill>
            <w14:solidFill>
              <w14:schemeClr w14:val="tx1"/>
            </w14:solidFill>
          </w14:textFill>
        </w:rPr>
        <w:t>。</w:t>
      </w:r>
      <w:r>
        <w:rPr>
          <w:rFonts w:hint="eastAsia" w:ascii="仿宋" w:hAnsi="仿宋" w:eastAsia="仿宋" w:cs="仿宋"/>
          <w:b w:val="0"/>
          <w:i w:val="0"/>
          <w:caps w:val="0"/>
          <w:color w:val="000000" w:themeColor="text1"/>
          <w:spacing w:val="0"/>
          <w:w w:val="100"/>
          <w:kern w:val="0"/>
          <w:sz w:val="32"/>
          <w:szCs w:val="32"/>
          <w14:textFill>
            <w14:solidFill>
              <w14:schemeClr w14:val="tx1"/>
            </w14:solidFill>
          </w14:textFill>
        </w:rPr>
        <w:t>出台《关于调整区级行政事业单位通用办公设备和办公家具购置费预算标准的通知》的同时，对没有规定资产配置标准的，坚持厉行节约、从严控制的原则，并结合单位履职需要、存量资产状况和财力情况等，采取调剂、租赁、购置等方式进行配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baseline"/>
        <w:rPr>
          <w:rFonts w:hint="eastAsia" w:ascii="仿宋" w:hAnsi="仿宋" w:eastAsia="仿宋" w:cs="仿宋"/>
          <w:b w:val="0"/>
          <w:i w:val="0"/>
          <w:caps w:val="0"/>
          <w:color w:val="000000" w:themeColor="text1"/>
          <w:spacing w:val="0"/>
          <w:w w:val="100"/>
          <w:kern w:val="0"/>
          <w:sz w:val="32"/>
          <w:szCs w:val="32"/>
          <w14:textFill>
            <w14:solidFill>
              <w14:schemeClr w14:val="tx1"/>
            </w14:solidFill>
          </w14:textFill>
        </w:rPr>
      </w:pPr>
      <w:r>
        <w:rPr>
          <w:rFonts w:hint="eastAsia" w:ascii="仿宋" w:hAnsi="仿宋" w:eastAsia="仿宋" w:cs="仿宋"/>
          <w:b/>
          <w:i w:val="0"/>
          <w:caps w:val="0"/>
          <w:color w:val="000000" w:themeColor="text1"/>
          <w:spacing w:val="0"/>
          <w:w w:val="100"/>
          <w:kern w:val="0"/>
          <w:sz w:val="32"/>
          <w:szCs w:val="32"/>
          <w14:textFill>
            <w14:solidFill>
              <w14:schemeClr w14:val="tx1"/>
            </w14:solidFill>
          </w14:textFill>
        </w:rPr>
        <w:t>（</w:t>
      </w:r>
      <w:r>
        <w:rPr>
          <w:rFonts w:hint="eastAsia" w:ascii="仿宋" w:hAnsi="仿宋" w:eastAsia="仿宋" w:cs="仿宋"/>
          <w:b/>
          <w:i w:val="0"/>
          <w:caps w:val="0"/>
          <w:color w:val="000000" w:themeColor="text1"/>
          <w:spacing w:val="0"/>
          <w:w w:val="100"/>
          <w:kern w:val="0"/>
          <w:sz w:val="32"/>
          <w:szCs w:val="32"/>
          <w:lang w:val="en-US" w:eastAsia="zh-CN"/>
          <w14:textFill>
            <w14:solidFill>
              <w14:schemeClr w14:val="tx1"/>
            </w14:solidFill>
          </w14:textFill>
        </w:rPr>
        <w:t>4</w:t>
      </w:r>
      <w:r>
        <w:rPr>
          <w:rFonts w:hint="eastAsia" w:ascii="仿宋" w:hAnsi="仿宋" w:eastAsia="仿宋" w:cs="仿宋"/>
          <w:b/>
          <w:i w:val="0"/>
          <w:caps w:val="0"/>
          <w:color w:val="000000" w:themeColor="text1"/>
          <w:spacing w:val="0"/>
          <w:w w:val="100"/>
          <w:kern w:val="0"/>
          <w:sz w:val="32"/>
          <w:szCs w:val="32"/>
          <w14:textFill>
            <w14:solidFill>
              <w14:schemeClr w14:val="tx1"/>
            </w14:solidFill>
          </w14:textFill>
        </w:rPr>
        <w:t>）规范区级机构改革</w:t>
      </w:r>
      <w:r>
        <w:rPr>
          <w:rFonts w:hint="eastAsia" w:ascii="仿宋" w:hAnsi="仿宋" w:eastAsia="仿宋" w:cs="仿宋"/>
          <w:b/>
          <w:i w:val="0"/>
          <w:caps w:val="0"/>
          <w:color w:val="000000" w:themeColor="text1"/>
          <w:spacing w:val="0"/>
          <w:w w:val="100"/>
          <w:kern w:val="0"/>
          <w:sz w:val="32"/>
          <w:szCs w:val="32"/>
          <w:lang w:eastAsia="zh-CN"/>
          <w14:textFill>
            <w14:solidFill>
              <w14:schemeClr w14:val="tx1"/>
            </w14:solidFill>
          </w14:textFill>
        </w:rPr>
        <w:t>涉及的</w:t>
      </w:r>
      <w:r>
        <w:rPr>
          <w:rFonts w:hint="eastAsia" w:ascii="仿宋" w:hAnsi="仿宋" w:eastAsia="仿宋" w:cs="仿宋"/>
          <w:b/>
          <w:i w:val="0"/>
          <w:caps w:val="0"/>
          <w:color w:val="000000" w:themeColor="text1"/>
          <w:spacing w:val="0"/>
          <w:w w:val="100"/>
          <w:kern w:val="0"/>
          <w:sz w:val="32"/>
          <w:szCs w:val="32"/>
          <w14:textFill>
            <w14:solidFill>
              <w14:schemeClr w14:val="tx1"/>
            </w14:solidFill>
          </w14:textFill>
        </w:rPr>
        <w:t>国有资产管理</w:t>
      </w:r>
      <w:r>
        <w:rPr>
          <w:rFonts w:hint="eastAsia" w:ascii="仿宋" w:hAnsi="仿宋" w:eastAsia="仿宋" w:cs="仿宋"/>
          <w:b/>
          <w:i w:val="0"/>
          <w:caps w:val="0"/>
          <w:color w:val="000000" w:themeColor="text1"/>
          <w:spacing w:val="0"/>
          <w:w w:val="100"/>
          <w:kern w:val="0"/>
          <w:sz w:val="32"/>
          <w:szCs w:val="32"/>
          <w:lang w:eastAsia="zh-CN"/>
          <w14:textFill>
            <w14:solidFill>
              <w14:schemeClr w14:val="tx1"/>
            </w14:solidFill>
          </w14:textFill>
        </w:rPr>
        <w:t>。</w:t>
      </w:r>
      <w:r>
        <w:rPr>
          <w:rFonts w:hint="eastAsia" w:ascii="仿宋" w:hAnsi="仿宋" w:eastAsia="仿宋" w:cs="仿宋"/>
          <w:b w:val="0"/>
          <w:i w:val="0"/>
          <w:caps w:val="0"/>
          <w:color w:val="000000" w:themeColor="text1"/>
          <w:spacing w:val="0"/>
          <w:w w:val="100"/>
          <w:kern w:val="0"/>
          <w:sz w:val="32"/>
          <w:szCs w:val="32"/>
          <w14:textFill>
            <w14:solidFill>
              <w14:schemeClr w14:val="tx1"/>
            </w14:solidFill>
          </w14:textFill>
        </w:rPr>
        <w:t>按照分类施策、简化程序、把握重点、防止流失的原则，切实做好区级机构改革涉及的资产清查、划转、接收等工作，确保资产随区级机构改革及时有序调整到位。</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2021年财政收支预算执行总体较好，但还存在一些问题，需要我们在今后的工作中进一步完善和改正，主要表现在：受宏观经济下行压力及新冠疫情、减税降费政策等影响，财政收入增收空间有限；财政支出刚性增长，收支矛盾较为突出；财政管理和监督有待进一步加强。这些问题都需要在今后的工作中进一步采取有效措施，逐步加以解决。</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eastAsia" w:ascii="仿宋" w:hAnsi="仿宋" w:eastAsia="仿宋" w:cs="仿宋"/>
          <w:b w:val="0"/>
          <w:bCs w:val="0"/>
          <w:i w:val="0"/>
          <w:caps w:val="0"/>
          <w:color w:val="000000" w:themeColor="text1"/>
          <w:spacing w:val="0"/>
          <w:w w:val="100"/>
          <w:sz w:val="32"/>
          <w:szCs w:val="32"/>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w w:val="100"/>
          <w:sz w:val="32"/>
          <w:szCs w:val="32"/>
          <w:lang w:val="en-US" w:eastAsia="zh-CN"/>
          <w14:textFill>
            <w14:solidFill>
              <w14:schemeClr w14:val="tx1"/>
            </w14:solidFill>
          </w14:textFill>
        </w:rPr>
        <w:t>二、2022年1-6月份财政预算执行情况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今年以来，全区财税部门认真贯彻落实上级的决策部署，围绕年初确定的目标任务，树立过紧日子的思想，厉行勤俭节约，量入为出，加强财政预算管理，上半年财政运行情况总体良好。</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baseline"/>
        <w:rPr>
          <w:rFonts w:hint="eastAsia" w:ascii="仿宋" w:hAnsi="仿宋" w:eastAsia="仿宋" w:cs="仿宋"/>
          <w:b/>
          <w:bCs/>
          <w:i w:val="0"/>
          <w:caps w:val="0"/>
          <w:color w:val="000000" w:themeColor="text1"/>
          <w:spacing w:val="0"/>
          <w:w w:val="100"/>
          <w:sz w:val="32"/>
          <w:szCs w:val="32"/>
          <w:lang w:val="en-US" w:eastAsia="zh-CN"/>
          <w14:textFill>
            <w14:solidFill>
              <w14:schemeClr w14:val="tx1"/>
            </w14:solidFill>
          </w14:textFill>
        </w:rPr>
      </w:pPr>
      <w:r>
        <w:rPr>
          <w:rFonts w:hint="eastAsia" w:ascii="楷体" w:hAnsi="楷体" w:eastAsia="楷体" w:cs="楷体"/>
          <w:b/>
          <w:bCs/>
          <w:i w:val="0"/>
          <w:caps w:val="0"/>
          <w:color w:val="000000" w:themeColor="text1"/>
          <w:spacing w:val="0"/>
          <w:w w:val="100"/>
          <w:sz w:val="32"/>
          <w:szCs w:val="32"/>
          <w:lang w:val="en-US" w:eastAsia="zh-CN"/>
          <w14:textFill>
            <w14:solidFill>
              <w14:schemeClr w14:val="tx1"/>
            </w14:solidFill>
          </w14:textFill>
        </w:rPr>
        <w:t>（一）一般公共预算收支情况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baseline"/>
        <w:rPr>
          <w:rFonts w:hint="eastAsia" w:ascii="仿宋" w:hAnsi="仿宋" w:eastAsia="仿宋" w:cs="仿宋"/>
          <w:b/>
          <w:bCs/>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bCs/>
          <w:i w:val="0"/>
          <w:caps w:val="0"/>
          <w:color w:val="000000" w:themeColor="text1"/>
          <w:spacing w:val="0"/>
          <w:w w:val="100"/>
          <w:sz w:val="32"/>
          <w:szCs w:val="32"/>
          <w:lang w:val="en-US" w:eastAsia="zh-CN"/>
          <w14:textFill>
            <w14:solidFill>
              <w14:schemeClr w14:val="tx1"/>
            </w14:solidFill>
          </w14:textFill>
        </w:rPr>
        <w:t>1.一般公共预算收入完成情况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eastAsia" w:ascii="仿宋" w:hAnsi="仿宋" w:eastAsia="仿宋" w:cs="仿宋"/>
          <w:b w:val="0"/>
          <w:i w:val="0"/>
          <w:caps w:val="0"/>
          <w:color w:val="000000" w:themeColor="text1"/>
          <w:spacing w:val="0"/>
          <w:w w:val="100"/>
          <w:kern w:val="2"/>
          <w:sz w:val="32"/>
          <w:szCs w:val="32"/>
          <w:lang w:val="en-US" w:eastAsia="zh-CN" w:bidi="ar-SA"/>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截止6月30日，全区一般公共预算总收入完成295294万元，完成年初区人大通过任务数500000万元的59.1%，超序时进度9.1个百分点，比上年同期减收14226万元，下降4.6%。其中：地方一般公共预算收入205546万元，完成年初区人大通过任务数327850万元的62.7%，超序时进度12.7个百分点，比上年同期减收8813万元，下降4.1%；上划中央收入89748万元，完成年初区人大通过任务数172150万元的52.1%，超序时进度2.1个百分点，比上年同期减收5413万元，下降5.7%。</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考虑到今年4月1日起，中央实施规模空前的增值税留抵退税政策，按照剔除留抵退税因素同口径情况如下：截止6月30日，全区一般公共预算总收入完成317460万元，比上年同期增收4676万元，增长1.5%。其中：地方一般公共预算收入216629万元，比上年同期增收638万元，增长0.3%；上划中央收入100831万元，比上年同期增收4038万元，增长4.2%。</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baseline"/>
        <w:rPr>
          <w:rFonts w:hint="eastAsia" w:ascii="仿宋" w:hAnsi="仿宋" w:eastAsia="仿宋" w:cs="仿宋"/>
          <w:b/>
          <w:bCs/>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bCs/>
          <w:i w:val="0"/>
          <w:caps w:val="0"/>
          <w:color w:val="000000" w:themeColor="text1"/>
          <w:spacing w:val="0"/>
          <w:w w:val="100"/>
          <w:sz w:val="32"/>
          <w:szCs w:val="32"/>
          <w:lang w:val="en-US" w:eastAsia="zh-CN"/>
          <w14:textFill>
            <w14:solidFill>
              <w14:schemeClr w14:val="tx1"/>
            </w14:solidFill>
          </w14:textFill>
        </w:rPr>
        <w:t>2.一般公共预算支出完成情况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截止6月底，全区一般公共预算支出完成205410万元，比上年同期增支24759万元，增长13.7%。扣除上级专项36148万元后，完成年初区人大通过预算数311433万元的54.3%。</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baseline"/>
        <w:rPr>
          <w:rFonts w:hint="eastAsia" w:ascii="仿宋" w:hAnsi="仿宋" w:eastAsia="仿宋" w:cs="仿宋"/>
          <w:b/>
          <w:bCs/>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bCs/>
          <w:i w:val="0"/>
          <w:caps w:val="0"/>
          <w:color w:val="000000" w:themeColor="text1"/>
          <w:spacing w:val="0"/>
          <w:w w:val="100"/>
          <w:sz w:val="32"/>
          <w:szCs w:val="32"/>
          <w:lang w:val="en-US" w:eastAsia="zh-CN"/>
          <w14:textFill>
            <w14:solidFill>
              <w14:schemeClr w14:val="tx1"/>
            </w14:solidFill>
          </w14:textFill>
        </w:rPr>
        <w:t>3.分执收部门完成情况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（1）税务局征收入库259150万元，完成年初区人大通过任务数454000万元的57.1%，超序时进度7.1个百分点，比上年同期增收19468万元，增长8.1%。</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（2）财政及其他执收部门征收入库58310万元，超额完成年初区人大通过任务数46000万元的任务，比上年同期减收14792万元，下降20.2%。</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baseline"/>
        <w:rPr>
          <w:rFonts w:hint="default" w:ascii="仿宋" w:hAnsi="仿宋" w:eastAsia="仿宋" w:cs="仿宋"/>
          <w:b/>
          <w:bCs/>
          <w:i w:val="0"/>
          <w:caps w:val="0"/>
          <w:color w:val="000000" w:themeColor="text1"/>
          <w:spacing w:val="0"/>
          <w:w w:val="100"/>
          <w:sz w:val="32"/>
          <w:szCs w:val="32"/>
          <w:lang w:val="en-US" w:eastAsia="zh-CN"/>
          <w14:textFill>
            <w14:solidFill>
              <w14:schemeClr w14:val="tx1"/>
            </w14:solidFill>
          </w14:textFill>
        </w:rPr>
      </w:pPr>
      <w:r>
        <w:rPr>
          <w:rFonts w:hint="default" w:ascii="仿宋" w:hAnsi="仿宋" w:eastAsia="仿宋" w:cs="仿宋"/>
          <w:b/>
          <w:bCs/>
          <w:i w:val="0"/>
          <w:caps w:val="0"/>
          <w:color w:val="000000" w:themeColor="text1"/>
          <w:spacing w:val="0"/>
          <w:w w:val="100"/>
          <w:sz w:val="32"/>
          <w:szCs w:val="32"/>
          <w:lang w:val="en-US" w:eastAsia="zh-CN"/>
          <w14:textFill>
            <w14:solidFill>
              <w14:schemeClr w14:val="tx1"/>
            </w14:solidFill>
          </w14:textFill>
        </w:rPr>
        <w:t>4.分镇（街）完成情况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西天尾镇：征收入库</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58840</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万元，完成收入计划</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125000</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万元的</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47.1</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%，慢序时进度</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2.9</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个百分点，比上年同期增收1</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2253</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万元，增长</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26.3</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新度镇：征收入库</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5211</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万元，完成收入计划</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13000</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万元的</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40.1</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%，慢序时进度</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9.9</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个百分点，比上年同期增收</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641</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万元，增长</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14.0</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黄石镇：征收入库</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49709</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万元，完成收入计划</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72000</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万元的</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69</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%，超序时进度</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19</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个百分点，比上年同期增收</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23913</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万元，增长</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92.7</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北高镇：征收入库</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1904</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万元，完成收入计划</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10000</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万元的</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19</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%，慢序时进度</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31</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个百分点，比上年同期</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减</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收</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1393</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下降42.3</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拱辰办：征收入库</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68112</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万元，完成收入计划</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102000</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万元的</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66.8</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%，超序时进度</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16.8</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个百分点，比上年同期</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减</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收</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5937</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下降8.0</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镇海办：征收入库</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60948</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万元，完成收入计划</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102000</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万元的</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59.8</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%，超序时进度</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9.8</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个百分点，比上年同期</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减</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收</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540</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下降0.9</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eastAsia" w:ascii="楷体" w:hAnsi="楷体" w:eastAsia="楷体" w:cs="楷体"/>
          <w:b/>
          <w:bCs/>
          <w:i w:val="0"/>
          <w:caps w:val="0"/>
          <w:color w:val="000000" w:themeColor="text1"/>
          <w:spacing w:val="0"/>
          <w:w w:val="100"/>
          <w:sz w:val="32"/>
          <w:szCs w:val="32"/>
          <w:lang w:val="en-US" w:eastAsia="zh-CN"/>
          <w14:textFill>
            <w14:solidFill>
              <w14:schemeClr w14:val="tx1"/>
            </w14:solidFill>
          </w14:textFill>
        </w:rPr>
        <w:t>(二)全区政府性基金收支情况：</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截止6月底，</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全区政府性基金收入34470万元，</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其中：上级补助收入</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32175</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万元，国有土地使用权出让收入</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1594</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城市基础设施配套费收入498万元，</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污水处理费收入</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203</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完成年初区人大通过预算数291260万元的11.8%，地方政府专项债务转贷收入180603万元，上年结余204108万元，可动用基金共计419181万元。基金支出262681万元，滚存结余156500万元。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eastAsia" w:ascii="楷体" w:hAnsi="楷体" w:eastAsia="楷体" w:cs="楷体"/>
          <w:b/>
          <w:bCs/>
          <w:i w:val="0"/>
          <w:caps w:val="0"/>
          <w:color w:val="000000" w:themeColor="text1"/>
          <w:spacing w:val="0"/>
          <w:w w:val="100"/>
          <w:sz w:val="32"/>
          <w:szCs w:val="32"/>
          <w:lang w:val="en-US" w:eastAsia="zh-CN"/>
          <w14:textFill>
            <w14:solidFill>
              <w14:schemeClr w14:val="tx1"/>
            </w14:solidFill>
          </w14:textFill>
        </w:rPr>
        <w:t>（三）国有资本经营收支情况：</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截止6月底，上年结余</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302</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尚未实现</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国有资本经营收入</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，也尚未实现</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国有资本经营预</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算支出，</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滚存结余</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302</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eastAsia" w:ascii="楷体" w:hAnsi="楷体" w:eastAsia="楷体" w:cs="楷体"/>
          <w:b/>
          <w:bCs/>
          <w:i w:val="0"/>
          <w:caps w:val="0"/>
          <w:color w:val="000000" w:themeColor="text1"/>
          <w:spacing w:val="0"/>
          <w:w w:val="100"/>
          <w:sz w:val="32"/>
          <w:szCs w:val="32"/>
          <w:lang w:val="en-US" w:eastAsia="zh-CN"/>
          <w14:textFill>
            <w14:solidFill>
              <w14:schemeClr w14:val="tx1"/>
            </w14:solidFill>
          </w14:textFill>
        </w:rPr>
        <w:t>（四）全区社会保险基金收支情况：</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截止6月底，</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全区社会保险基金上年结余24214万元；基金收入36480万元，完成年初区人大通过预算数的63.97%，增长42.66%，其中：机关事业单位养老保险基金收入19217万元，增长23.32%；城乡居民基本养老保险基金收入17263万元，增长72.86%。基金支出25052万元，完成年初区人大通过预算数的48.28%，下降4.72%，其中：机关事业单位养老保险基金支出16120万元，下降11.41%；城乡居民基本养老保险基金支出8932万元，增长10.32%。滚存结余35642万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楷体" w:hAnsi="楷体" w:eastAsia="楷体" w:cs="楷体"/>
          <w:b/>
          <w:bCs/>
          <w:i w:val="0"/>
          <w:caps w:val="0"/>
          <w:color w:val="000000" w:themeColor="text1"/>
          <w:spacing w:val="0"/>
          <w:w w:val="100"/>
          <w:sz w:val="32"/>
          <w:szCs w:val="32"/>
          <w:lang w:val="en-US" w:eastAsia="zh-CN"/>
          <w14:textFill>
            <w14:solidFill>
              <w14:schemeClr w14:val="tx1"/>
            </w14:solidFill>
          </w14:textFill>
        </w:rPr>
      </w:pPr>
      <w:r>
        <w:rPr>
          <w:rFonts w:hint="eastAsia" w:ascii="楷体" w:hAnsi="楷体" w:eastAsia="楷体" w:cs="楷体"/>
          <w:b/>
          <w:bCs/>
          <w:i w:val="0"/>
          <w:caps w:val="0"/>
          <w:color w:val="000000" w:themeColor="text1"/>
          <w:spacing w:val="0"/>
          <w:w w:val="100"/>
          <w:sz w:val="32"/>
          <w:szCs w:val="32"/>
          <w:lang w:val="en-US" w:eastAsia="zh-CN"/>
          <w14:textFill>
            <w14:solidFill>
              <w14:schemeClr w14:val="tx1"/>
            </w14:solidFill>
          </w14:textFill>
        </w:rPr>
        <w:t>（五）预算执行的主要特点和问题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baseline"/>
        <w:rPr>
          <w:rFonts w:hint="default" w:ascii="仿宋" w:hAnsi="仿宋" w:eastAsia="仿宋" w:cs="仿宋"/>
          <w:b/>
          <w:bCs/>
          <w:i w:val="0"/>
          <w:caps w:val="0"/>
          <w:color w:val="000000" w:themeColor="text1"/>
          <w:spacing w:val="0"/>
          <w:w w:val="100"/>
          <w:sz w:val="32"/>
          <w:szCs w:val="32"/>
          <w:lang w:val="en-US" w:eastAsia="zh-CN"/>
          <w14:textFill>
            <w14:solidFill>
              <w14:schemeClr w14:val="tx1"/>
            </w14:solidFill>
          </w14:textFill>
        </w:rPr>
      </w:pPr>
      <w:r>
        <w:rPr>
          <w:rFonts w:hint="default" w:ascii="仿宋" w:hAnsi="仿宋" w:eastAsia="仿宋" w:cs="仿宋"/>
          <w:b/>
          <w:bCs/>
          <w:i w:val="0"/>
          <w:caps w:val="0"/>
          <w:color w:val="000000" w:themeColor="text1"/>
          <w:spacing w:val="0"/>
          <w:w w:val="100"/>
          <w:sz w:val="32"/>
          <w:szCs w:val="32"/>
          <w:lang w:val="en-US" w:eastAsia="zh-CN"/>
          <w14:textFill>
            <w14:solidFill>
              <w14:schemeClr w14:val="tx1"/>
            </w14:solidFill>
          </w14:textFill>
        </w:rPr>
        <w:t>1</w:t>
      </w:r>
      <w:r>
        <w:rPr>
          <w:rFonts w:hint="eastAsia" w:ascii="仿宋" w:hAnsi="仿宋" w:eastAsia="仿宋" w:cs="仿宋"/>
          <w:b/>
          <w:bCs/>
          <w:i w:val="0"/>
          <w:caps w:val="0"/>
          <w:color w:val="000000" w:themeColor="text1"/>
          <w:spacing w:val="0"/>
          <w:w w:val="100"/>
          <w:sz w:val="32"/>
          <w:szCs w:val="32"/>
          <w:lang w:val="en-US" w:eastAsia="zh-CN"/>
          <w14:textFill>
            <w14:solidFill>
              <w14:schemeClr w14:val="tx1"/>
            </w14:solidFill>
          </w14:textFill>
        </w:rPr>
        <w:t>.</w:t>
      </w:r>
      <w:r>
        <w:rPr>
          <w:rFonts w:hint="default" w:ascii="仿宋" w:hAnsi="仿宋" w:eastAsia="仿宋" w:cs="仿宋"/>
          <w:b/>
          <w:bCs/>
          <w:i w:val="0"/>
          <w:caps w:val="0"/>
          <w:color w:val="000000" w:themeColor="text1"/>
          <w:spacing w:val="0"/>
          <w:w w:val="100"/>
          <w:sz w:val="32"/>
          <w:szCs w:val="32"/>
          <w:lang w:val="en-US" w:eastAsia="zh-CN"/>
          <w14:textFill>
            <w14:solidFill>
              <w14:schemeClr w14:val="tx1"/>
            </w14:solidFill>
          </w14:textFill>
        </w:rPr>
        <w:t>财政收入恢复性增长，收入总量名列前茅</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今年以来全区财政、税务部门强化征管，攻坚克难，积极组织收入，应收尽收，截止6月30日，全区一般公共预算总收入完成</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317460</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增长1.5%；</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地方一般公共预算收入完成</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216629</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，增长0.3%</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。一般公共预算总收入和地方</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一般公共预算收入</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总量均位居全市第一，总收入和地方</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级</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收入序时位居全市五县区第一。</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分镇街看，黄石镇</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镇海办、拱辰办超序时完成收入计划外，西天尾镇、新度镇、北高镇未按序时完成收入计划。除拱辰办</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减收5937万元、</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北高镇减收</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1393</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镇海办减收</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540</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万元外，其他镇街均增收，黄石镇增收</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23913</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西天尾镇增收</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12253</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万元和新度镇增收</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641</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baseline"/>
        <w:rPr>
          <w:rFonts w:hint="default" w:ascii="仿宋" w:hAnsi="仿宋" w:eastAsia="仿宋" w:cs="仿宋"/>
          <w:b/>
          <w:bCs/>
          <w:i w:val="0"/>
          <w:caps w:val="0"/>
          <w:color w:val="000000" w:themeColor="text1"/>
          <w:spacing w:val="0"/>
          <w:w w:val="100"/>
          <w:sz w:val="32"/>
          <w:szCs w:val="32"/>
          <w:lang w:val="en-US" w:eastAsia="zh-CN"/>
          <w14:textFill>
            <w14:solidFill>
              <w14:schemeClr w14:val="tx1"/>
            </w14:solidFill>
          </w14:textFill>
        </w:rPr>
      </w:pPr>
      <w:r>
        <w:rPr>
          <w:rFonts w:hint="default" w:ascii="仿宋" w:hAnsi="仿宋" w:eastAsia="仿宋" w:cs="仿宋"/>
          <w:b/>
          <w:bCs/>
          <w:i w:val="0"/>
          <w:caps w:val="0"/>
          <w:color w:val="000000" w:themeColor="text1"/>
          <w:spacing w:val="0"/>
          <w:w w:val="100"/>
          <w:sz w:val="32"/>
          <w:szCs w:val="32"/>
          <w:lang w:val="en-US" w:eastAsia="zh-CN"/>
          <w14:textFill>
            <w14:solidFill>
              <w14:schemeClr w14:val="tx1"/>
            </w14:solidFill>
          </w14:textFill>
        </w:rPr>
        <w:t>2</w:t>
      </w:r>
      <w:r>
        <w:rPr>
          <w:rFonts w:hint="eastAsia" w:ascii="仿宋" w:hAnsi="仿宋" w:eastAsia="仿宋" w:cs="仿宋"/>
          <w:b/>
          <w:bCs/>
          <w:i w:val="0"/>
          <w:caps w:val="0"/>
          <w:color w:val="000000" w:themeColor="text1"/>
          <w:spacing w:val="0"/>
          <w:w w:val="100"/>
          <w:sz w:val="32"/>
          <w:szCs w:val="32"/>
          <w:lang w:val="en-US" w:eastAsia="zh-CN"/>
          <w14:textFill>
            <w14:solidFill>
              <w14:schemeClr w14:val="tx1"/>
            </w14:solidFill>
          </w14:textFill>
        </w:rPr>
        <w:t>.</w:t>
      </w:r>
      <w:r>
        <w:rPr>
          <w:rFonts w:hint="default" w:ascii="仿宋" w:hAnsi="仿宋" w:eastAsia="仿宋" w:cs="仿宋"/>
          <w:b/>
          <w:bCs/>
          <w:i w:val="0"/>
          <w:caps w:val="0"/>
          <w:color w:val="000000" w:themeColor="text1"/>
          <w:spacing w:val="0"/>
          <w:w w:val="100"/>
          <w:sz w:val="32"/>
          <w:szCs w:val="32"/>
          <w:lang w:val="en-US" w:eastAsia="zh-CN"/>
          <w14:textFill>
            <w14:solidFill>
              <w14:schemeClr w14:val="tx1"/>
            </w14:solidFill>
          </w14:textFill>
        </w:rPr>
        <w:t>税收收入保持增长态势，</w:t>
      </w:r>
      <w:r>
        <w:rPr>
          <w:rFonts w:hint="eastAsia" w:ascii="仿宋" w:hAnsi="仿宋" w:eastAsia="仿宋" w:cs="仿宋"/>
          <w:b/>
          <w:bCs/>
          <w:i w:val="0"/>
          <w:caps w:val="0"/>
          <w:color w:val="000000" w:themeColor="text1"/>
          <w:spacing w:val="0"/>
          <w:w w:val="100"/>
          <w:sz w:val="32"/>
          <w:szCs w:val="32"/>
          <w:lang w:val="en-US" w:eastAsia="zh-CN"/>
          <w14:textFill>
            <w14:solidFill>
              <w14:schemeClr w14:val="tx1"/>
            </w14:solidFill>
          </w14:textFill>
        </w:rPr>
        <w:t>工业税收</w:t>
      </w:r>
      <w:r>
        <w:rPr>
          <w:rFonts w:hint="default" w:ascii="仿宋" w:hAnsi="仿宋" w:eastAsia="仿宋" w:cs="仿宋"/>
          <w:b/>
          <w:bCs/>
          <w:i w:val="0"/>
          <w:caps w:val="0"/>
          <w:color w:val="000000" w:themeColor="text1"/>
          <w:spacing w:val="0"/>
          <w:w w:val="100"/>
          <w:sz w:val="32"/>
          <w:szCs w:val="32"/>
          <w:lang w:val="en-US" w:eastAsia="zh-CN"/>
          <w14:textFill>
            <w14:solidFill>
              <w14:schemeClr w14:val="tx1"/>
            </w14:solidFill>
          </w14:textFill>
        </w:rPr>
        <w:t>贡献较大</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从分行业来看，工业企业税收入库</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71395</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万元，占总收入的</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22.5</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%，比上年同期增收</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35243</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万元，增长</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97.5</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%；建安房地产业税收入库</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99092</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万元，占总收入的</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31.2</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%，比上年同期</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减</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收</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18463</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下降15.7</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%；第三产业税收入库</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52742</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万元，占总收入的1</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6</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.6%，比上年同期</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减</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收</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5640</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下降9.7</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%；耕契两税入库</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35921</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万元，占总收入的</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11.3</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%，比上年同期增收</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8328</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万元，增长</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30.2</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%；行政事业性收费等非税收入</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58310</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万元，占总收入的</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18.4</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%，同比增收</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1479</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2万元，</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下降20.2</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baseline"/>
        <w:rPr>
          <w:rFonts w:hint="default" w:ascii="仿宋" w:hAnsi="仿宋" w:eastAsia="仿宋" w:cs="仿宋"/>
          <w:b/>
          <w:bCs/>
          <w:i w:val="0"/>
          <w:caps w:val="0"/>
          <w:color w:val="000000" w:themeColor="text1"/>
          <w:spacing w:val="0"/>
          <w:w w:val="100"/>
          <w:sz w:val="32"/>
          <w:szCs w:val="32"/>
          <w:lang w:val="en-US" w:eastAsia="zh-CN"/>
          <w14:textFill>
            <w14:solidFill>
              <w14:schemeClr w14:val="tx1"/>
            </w14:solidFill>
          </w14:textFill>
        </w:rPr>
      </w:pPr>
      <w:r>
        <w:rPr>
          <w:rFonts w:hint="default" w:ascii="仿宋" w:hAnsi="仿宋" w:eastAsia="仿宋" w:cs="仿宋"/>
          <w:b/>
          <w:bCs/>
          <w:i w:val="0"/>
          <w:caps w:val="0"/>
          <w:color w:val="000000" w:themeColor="text1"/>
          <w:spacing w:val="0"/>
          <w:w w:val="100"/>
          <w:sz w:val="32"/>
          <w:szCs w:val="32"/>
          <w:lang w:val="en-US" w:eastAsia="zh-CN"/>
          <w14:textFill>
            <w14:solidFill>
              <w14:schemeClr w14:val="tx1"/>
            </w14:solidFill>
          </w14:textFill>
        </w:rPr>
        <w:t>3</w:t>
      </w:r>
      <w:r>
        <w:rPr>
          <w:rFonts w:hint="eastAsia" w:ascii="仿宋" w:hAnsi="仿宋" w:eastAsia="仿宋" w:cs="仿宋"/>
          <w:b/>
          <w:bCs/>
          <w:i w:val="0"/>
          <w:caps w:val="0"/>
          <w:color w:val="000000" w:themeColor="text1"/>
          <w:spacing w:val="0"/>
          <w:w w:val="100"/>
          <w:sz w:val="32"/>
          <w:szCs w:val="32"/>
          <w:lang w:val="en-US" w:eastAsia="zh-CN"/>
          <w14:textFill>
            <w14:solidFill>
              <w14:schemeClr w14:val="tx1"/>
            </w14:solidFill>
          </w14:textFill>
        </w:rPr>
        <w:t>.兜牢“三保”底</w:t>
      </w:r>
      <w:r>
        <w:rPr>
          <w:rFonts w:hint="default" w:ascii="仿宋" w:hAnsi="仿宋" w:eastAsia="仿宋" w:cs="仿宋"/>
          <w:b/>
          <w:bCs/>
          <w:i w:val="0"/>
          <w:caps w:val="0"/>
          <w:color w:val="000000" w:themeColor="text1"/>
          <w:spacing w:val="0"/>
          <w:w w:val="100"/>
          <w:sz w:val="32"/>
          <w:szCs w:val="32"/>
          <w:lang w:val="en-US" w:eastAsia="zh-CN"/>
          <w14:textFill>
            <w14:solidFill>
              <w14:schemeClr w14:val="tx1"/>
            </w14:solidFill>
          </w14:textFill>
        </w:rPr>
        <w:t>线，切实保障民生和重点支出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全区财政部门认真贯彻过“紧日子”要求，严格控制一般性支出，集中财力保工资、保运转、保基本民生、保重点项目，加大民生投入力度，进一步增强落实民生政策的针对性和有效性，疫情防控、振兴乡村、基层“三保”等重点领域支出得到有力</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保障，1—6月份全区民生相关支出</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169316</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万元，占一般公共预算支出的</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82.4</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%，比例保持在超七成以上。截止6月30日，全区一般公共预算支出</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205410</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万元，比上年同期增支</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24759</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万元，增长</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13.7</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%。增幅较高的项目有:交通运输支出</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1478</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万元，增长</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64.6</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住房保障支出</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5252</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万元，增长</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58.6</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社会保障和就业支出40136万元，增长52.8；</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教育支出</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95470</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万元，增长</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49</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.2%；</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卫生健康</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支出</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9397</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万元，增长</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38.7</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baseline"/>
        <w:rPr>
          <w:rFonts w:hint="eastAsia" w:ascii="仿宋" w:hAnsi="仿宋" w:eastAsia="仿宋" w:cs="仿宋"/>
          <w:b/>
          <w:bCs/>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bCs/>
          <w:i w:val="0"/>
          <w:caps w:val="0"/>
          <w:color w:val="000000" w:themeColor="text1"/>
          <w:spacing w:val="0"/>
          <w:w w:val="100"/>
          <w:sz w:val="32"/>
          <w:szCs w:val="32"/>
          <w:lang w:val="en-US" w:eastAsia="zh-CN"/>
          <w14:textFill>
            <w14:solidFill>
              <w14:schemeClr w14:val="tx1"/>
            </w14:solidFill>
          </w14:textFill>
        </w:rPr>
        <w:t>4.财政收支平衡和资金调度压力比较突出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一方面，受</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留抵退税、</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减税降费政策、新冠疫情等影响，收入结构不合理，财力增长空间有限，财政资金调度压力也越来越大，财政收入和财政支出的矛盾逐步凸显。另一方面，财政支出增长的刚性</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不减，做好“六稳”工作，全面落实“六保”任务需要大量资金予以</w:t>
      </w:r>
      <w:r>
        <w:rPr>
          <w:rFonts w:hint="default" w:ascii="仿宋" w:hAnsi="仿宋" w:eastAsia="仿宋" w:cs="仿宋"/>
          <w:b w:val="0"/>
          <w:i w:val="0"/>
          <w:caps w:val="0"/>
          <w:color w:val="000000" w:themeColor="text1"/>
          <w:spacing w:val="0"/>
          <w:w w:val="100"/>
          <w:sz w:val="32"/>
          <w:szCs w:val="32"/>
          <w:lang w:val="en-US" w:eastAsia="zh-CN"/>
          <w14:textFill>
            <w14:solidFill>
              <w14:schemeClr w14:val="tx1"/>
            </w14:solidFill>
          </w14:textFill>
        </w:rPr>
        <w:t>保障。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baseline"/>
        <w:rPr>
          <w:rFonts w:hint="eastAsia" w:ascii="仿宋" w:hAnsi="仿宋" w:eastAsia="仿宋" w:cs="仿宋"/>
          <w:b/>
          <w:bCs/>
          <w:i w:val="0"/>
          <w:caps w:val="0"/>
          <w:color w:val="000000" w:themeColor="text1"/>
          <w:spacing w:val="0"/>
          <w:w w:val="100"/>
          <w:sz w:val="32"/>
          <w:szCs w:val="32"/>
          <w:lang w:val="en-US" w:eastAsia="zh-CN"/>
          <w14:textFill>
            <w14:solidFill>
              <w14:schemeClr w14:val="tx1"/>
            </w14:solidFill>
          </w14:textFill>
        </w:rPr>
      </w:pPr>
      <w:r>
        <w:rPr>
          <w:rFonts w:hint="eastAsia" w:ascii="楷体" w:hAnsi="楷体" w:eastAsia="楷体" w:cs="楷体"/>
          <w:b/>
          <w:bCs/>
          <w:i w:val="0"/>
          <w:caps w:val="0"/>
          <w:color w:val="000000" w:themeColor="text1"/>
          <w:spacing w:val="0"/>
          <w:w w:val="100"/>
          <w:sz w:val="32"/>
          <w:szCs w:val="32"/>
          <w:lang w:val="en-US" w:eastAsia="zh-CN"/>
          <w14:textFill>
            <w14:solidFill>
              <w14:schemeClr w14:val="tx1"/>
            </w14:solidFill>
          </w14:textFill>
        </w:rPr>
        <w:t>（六）下半年工作计划和举措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当前全球新冠疫情仍较严峻，减税降费、留抵退税政策实施等减收因素多，财税部门要围绕收入预期目标，紧盯进度，加强管征，挖潜增收。下一步认真做好以下工作：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一是强化税收征收管理，夯实财政收入基础。加大招商引资力度，持续优化营商环境，落实减税降费、留抵退税政策和正向激励措施，完善产业扶持政策，积极兑现补助资金，支持实体经济做优做强，壮大产业、科技型和总部企业发展，引导企业转型升级，增强营利能力。加强税源普查力度，通过相关部门密切配合，上下联动，信息共享，建立税源台账，实时掌握税源动态，强化重点税源企业跟踪分析，落实财税部门收入协调工作机制，加强税收管征力度，做好土地增值税清算入库，减少逃漏税现象，着力挖掘增收潜力，坚持依法征收，应收尽收，努力完成预期目标；积极争取免抵调库指标，想方设法开拓新增税源和渠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baseline"/>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二是加快预算执行力度，规范财政支出管理。树立过“紧日子”思想，坚持节流与开源并举，有保有压、精打细算，大力压减一般性支出，腾出更多资金用于发展和改善民生。扎实推进预决算公开，推动部门建立预决算公开统一平台，确保预决算公开及时、内容真实、形式规范，加快建成全方位、全过程、全覆盖的预算绩效管理体系，推动建立“花钱必问效、无效必问责”的硬约束机制。加强结余结转资金盘活力度，继续清理结余结转资金，采取有效措施防止存量资金“二次”沉淀，推动财政资金聚力增效，提高公共服务供给质量。抓紧预算资金细化分解下达，关注项目建设进度，提前做好资金拨付准备，促进项目资金早拨付、早见效，促进预算单位强化预算执行主体责任，督促区直部门和各镇街加快支出进度，及时拨付资金，促进经济社会持续健康发展。</w:t>
      </w:r>
    </w:p>
    <w:p>
      <w:pPr>
        <w:ind w:firstLine="640" w:firstLineChars="200"/>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三是加强债务风险管控，防范政府债务风险。守住债务限额底线，规范举债融资行为，完善债务风险防控机制，加快推进融资平台公司市场转型工作。加强对债务风险状况的预警和评估，及时有效用好政府债券资金，完善政府性债务风险应急预案。加强防范支出风险，确保机构运转和民生支出资金需要。多渠道筹集资金，增强资金保障能力，减轻财政资金压力，保障政府性项目建设资金需求。</w:t>
      </w:r>
    </w:p>
    <w:p>
      <w:pPr>
        <w:ind w:firstLine="640" w:firstLineChars="200"/>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bookmarkStart w:id="1" w:name="_GoBack"/>
      <w:bookmarkEnd w:id="1"/>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四是严格执行财经制度，加大监督检查力度。贯彻落实中央“八项规定”有关精神，继续加大对部门预算执行监督力度，开展会计信息检查，严肃财经纪律，厉行节约，把有限的财力用在刀刃上；优化支出结构，继续压缩行政运行成本，着力保障和改善民生，严控“三公”经费等一般性支出，落实公车改革政策，确保国有资产不流失。</w:t>
      </w:r>
    </w:p>
    <w:p>
      <w:pPr>
        <w:rPr>
          <w:rFonts w:hint="eastAsia" w:ascii="仿宋_GB2312" w:eastAsia="仿宋_GB2312"/>
          <w:b w:val="0"/>
          <w:i w:val="0"/>
          <w:caps w:val="0"/>
          <w:color w:val="000000" w:themeColor="text1"/>
          <w:spacing w:val="0"/>
          <w:w w:val="100"/>
          <w:sz w:val="32"/>
          <w:szCs w:val="32"/>
          <w:lang w:val="en-US" w:eastAsia="zh-CN"/>
          <w14:textFill>
            <w14:solidFill>
              <w14:schemeClr w14:val="tx1"/>
            </w14:solidFill>
          </w14:textFill>
        </w:rPr>
      </w:pPr>
    </w:p>
    <w:sectPr>
      <w:headerReference r:id="rId3" w:type="default"/>
      <w:footerReference r:id="rId4" w:type="default"/>
      <w:pgSz w:w="11906" w:h="16838"/>
      <w:pgMar w:top="1247" w:right="1247" w:bottom="1247" w:left="1247" w:header="851" w:footer="992" w:gutter="0"/>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63" w:wrap="around" w:vAnchor="text" w:hAnchor="margin" w:xAlign="outside" w:y="4"/>
      <w:rPr>
        <w:rStyle w:val="12"/>
        <w:rFonts w:hint="eastAsia" w:ascii="宋体" w:hAnsi="宋体"/>
        <w:sz w:val="28"/>
        <w:szCs w:val="28"/>
      </w:rPr>
    </w:pPr>
    <w:r>
      <w:rPr>
        <w:rStyle w:val="12"/>
        <w:rFonts w:hint="eastAsia" w:ascii="宋体" w:hAnsi="宋体"/>
        <w:sz w:val="28"/>
        <w:szCs w:val="28"/>
      </w:rPr>
      <w:t xml:space="preserve">— </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20</w:t>
    </w:r>
    <w:r>
      <w:rPr>
        <w:rFonts w:ascii="宋体" w:hAnsi="宋体"/>
        <w:sz w:val="28"/>
        <w:szCs w:val="28"/>
      </w:rPr>
      <w:fldChar w:fldCharType="end"/>
    </w:r>
    <w:r>
      <w:rPr>
        <w:rStyle w:val="12"/>
        <w:rFonts w:hint="eastAsia" w:ascii="宋体" w:hAnsi="宋体"/>
        <w:sz w:val="28"/>
        <w:szCs w:val="28"/>
      </w:rPr>
      <w:t xml:space="preserve"> —</w:t>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62"/>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2MjM4NDEyMDFhNjE0Mzk1MmJhNjFiNmE1N2Y0MzYifQ=="/>
  </w:docVars>
  <w:rsids>
    <w:rsidRoot w:val="01700207"/>
    <w:rsid w:val="000A39D3"/>
    <w:rsid w:val="000C7F33"/>
    <w:rsid w:val="0012293A"/>
    <w:rsid w:val="001B01CA"/>
    <w:rsid w:val="003B065B"/>
    <w:rsid w:val="00527B35"/>
    <w:rsid w:val="005853C0"/>
    <w:rsid w:val="00643102"/>
    <w:rsid w:val="006B162A"/>
    <w:rsid w:val="006F1C0E"/>
    <w:rsid w:val="007C2838"/>
    <w:rsid w:val="007E4CF3"/>
    <w:rsid w:val="00817218"/>
    <w:rsid w:val="00826EE4"/>
    <w:rsid w:val="008412E2"/>
    <w:rsid w:val="00894186"/>
    <w:rsid w:val="008A046A"/>
    <w:rsid w:val="008A7E5F"/>
    <w:rsid w:val="00923A2C"/>
    <w:rsid w:val="00975A90"/>
    <w:rsid w:val="00995532"/>
    <w:rsid w:val="009F6BD5"/>
    <w:rsid w:val="00A4088C"/>
    <w:rsid w:val="00A70FC1"/>
    <w:rsid w:val="00AA0D6F"/>
    <w:rsid w:val="00AA7C69"/>
    <w:rsid w:val="00AB3666"/>
    <w:rsid w:val="00B54F63"/>
    <w:rsid w:val="00C77378"/>
    <w:rsid w:val="00D67FCA"/>
    <w:rsid w:val="00DF5ECD"/>
    <w:rsid w:val="00EE41A3"/>
    <w:rsid w:val="01700207"/>
    <w:rsid w:val="02402918"/>
    <w:rsid w:val="02797976"/>
    <w:rsid w:val="02BB4839"/>
    <w:rsid w:val="031D4E07"/>
    <w:rsid w:val="038E3711"/>
    <w:rsid w:val="04081F51"/>
    <w:rsid w:val="041B0A96"/>
    <w:rsid w:val="04B25358"/>
    <w:rsid w:val="04F42618"/>
    <w:rsid w:val="06061516"/>
    <w:rsid w:val="0615054A"/>
    <w:rsid w:val="06154186"/>
    <w:rsid w:val="0642785E"/>
    <w:rsid w:val="065F726D"/>
    <w:rsid w:val="06AC1D68"/>
    <w:rsid w:val="06C7519A"/>
    <w:rsid w:val="06E46CA2"/>
    <w:rsid w:val="070D3067"/>
    <w:rsid w:val="076E2CDD"/>
    <w:rsid w:val="07E14E23"/>
    <w:rsid w:val="081037E3"/>
    <w:rsid w:val="083E1575"/>
    <w:rsid w:val="08A70BDF"/>
    <w:rsid w:val="09085209"/>
    <w:rsid w:val="095E37AF"/>
    <w:rsid w:val="095E666B"/>
    <w:rsid w:val="0A764294"/>
    <w:rsid w:val="0AA95312"/>
    <w:rsid w:val="0AB94566"/>
    <w:rsid w:val="0ACF4B74"/>
    <w:rsid w:val="0B4F1507"/>
    <w:rsid w:val="0BF231C5"/>
    <w:rsid w:val="0C112F9D"/>
    <w:rsid w:val="0C530CE3"/>
    <w:rsid w:val="0D661EE3"/>
    <w:rsid w:val="0DF93ED9"/>
    <w:rsid w:val="0E845400"/>
    <w:rsid w:val="0EF335FB"/>
    <w:rsid w:val="0F594487"/>
    <w:rsid w:val="0FAD533E"/>
    <w:rsid w:val="0FBB0256"/>
    <w:rsid w:val="0FF31093"/>
    <w:rsid w:val="109D620C"/>
    <w:rsid w:val="10DA5552"/>
    <w:rsid w:val="11085CB3"/>
    <w:rsid w:val="118358AD"/>
    <w:rsid w:val="11914373"/>
    <w:rsid w:val="11D07DD3"/>
    <w:rsid w:val="124B79DC"/>
    <w:rsid w:val="125B58EC"/>
    <w:rsid w:val="126B561B"/>
    <w:rsid w:val="131C1E65"/>
    <w:rsid w:val="131E73AC"/>
    <w:rsid w:val="13A162B7"/>
    <w:rsid w:val="13CA37B1"/>
    <w:rsid w:val="1414133E"/>
    <w:rsid w:val="14702C19"/>
    <w:rsid w:val="1475772E"/>
    <w:rsid w:val="14CA06C4"/>
    <w:rsid w:val="15AC1371"/>
    <w:rsid w:val="15D01722"/>
    <w:rsid w:val="15EA0624"/>
    <w:rsid w:val="15FD6EFC"/>
    <w:rsid w:val="1626314B"/>
    <w:rsid w:val="16485394"/>
    <w:rsid w:val="16A65CAE"/>
    <w:rsid w:val="17021409"/>
    <w:rsid w:val="17123F41"/>
    <w:rsid w:val="17497BF4"/>
    <w:rsid w:val="17B90F41"/>
    <w:rsid w:val="17C17503"/>
    <w:rsid w:val="17C451B0"/>
    <w:rsid w:val="184913B3"/>
    <w:rsid w:val="18D3741F"/>
    <w:rsid w:val="19B010E7"/>
    <w:rsid w:val="19BB10FA"/>
    <w:rsid w:val="19C9477C"/>
    <w:rsid w:val="1A9600CA"/>
    <w:rsid w:val="1AAF1929"/>
    <w:rsid w:val="1AB23B9B"/>
    <w:rsid w:val="1AE04C2C"/>
    <w:rsid w:val="1B7F7533"/>
    <w:rsid w:val="1B950324"/>
    <w:rsid w:val="1C334DB0"/>
    <w:rsid w:val="1C3D50A3"/>
    <w:rsid w:val="1C8C0B41"/>
    <w:rsid w:val="1CC5443A"/>
    <w:rsid w:val="1D27101C"/>
    <w:rsid w:val="1D475B78"/>
    <w:rsid w:val="1D520028"/>
    <w:rsid w:val="1DCA1B83"/>
    <w:rsid w:val="1E0524F9"/>
    <w:rsid w:val="1E665CDC"/>
    <w:rsid w:val="1EA525D7"/>
    <w:rsid w:val="1EFD2002"/>
    <w:rsid w:val="1FB212C4"/>
    <w:rsid w:val="20201FF1"/>
    <w:rsid w:val="20241192"/>
    <w:rsid w:val="20AF0860"/>
    <w:rsid w:val="21583C5B"/>
    <w:rsid w:val="217522E5"/>
    <w:rsid w:val="21827E74"/>
    <w:rsid w:val="21CA3F41"/>
    <w:rsid w:val="222C278A"/>
    <w:rsid w:val="225862DA"/>
    <w:rsid w:val="22AD7A6E"/>
    <w:rsid w:val="22C968A4"/>
    <w:rsid w:val="238B5EB3"/>
    <w:rsid w:val="23903578"/>
    <w:rsid w:val="23912FE1"/>
    <w:rsid w:val="23EB6D28"/>
    <w:rsid w:val="23FE139E"/>
    <w:rsid w:val="2455256D"/>
    <w:rsid w:val="24686E5D"/>
    <w:rsid w:val="247948C3"/>
    <w:rsid w:val="24AD0F8E"/>
    <w:rsid w:val="24C20F6A"/>
    <w:rsid w:val="24EA59AF"/>
    <w:rsid w:val="251767D1"/>
    <w:rsid w:val="25912CC0"/>
    <w:rsid w:val="25D30FEE"/>
    <w:rsid w:val="262D7C41"/>
    <w:rsid w:val="263E37FB"/>
    <w:rsid w:val="267B65BE"/>
    <w:rsid w:val="26A32906"/>
    <w:rsid w:val="26D770DF"/>
    <w:rsid w:val="273E5822"/>
    <w:rsid w:val="277D4A2F"/>
    <w:rsid w:val="288B6DE9"/>
    <w:rsid w:val="28B20048"/>
    <w:rsid w:val="28E01947"/>
    <w:rsid w:val="29626652"/>
    <w:rsid w:val="298236BB"/>
    <w:rsid w:val="2A414245"/>
    <w:rsid w:val="2AC87911"/>
    <w:rsid w:val="2AED639A"/>
    <w:rsid w:val="2C1F44DA"/>
    <w:rsid w:val="2CB8156F"/>
    <w:rsid w:val="2E4C2FAB"/>
    <w:rsid w:val="2F0639FA"/>
    <w:rsid w:val="2F8B2AF1"/>
    <w:rsid w:val="2F8F74D7"/>
    <w:rsid w:val="2FAF6ACE"/>
    <w:rsid w:val="302D3310"/>
    <w:rsid w:val="30341467"/>
    <w:rsid w:val="303E2F85"/>
    <w:rsid w:val="307E7ED7"/>
    <w:rsid w:val="30C15EBE"/>
    <w:rsid w:val="30FA6439"/>
    <w:rsid w:val="3114391B"/>
    <w:rsid w:val="33812B90"/>
    <w:rsid w:val="33FA0C76"/>
    <w:rsid w:val="34287C11"/>
    <w:rsid w:val="35DB2442"/>
    <w:rsid w:val="35F57DE2"/>
    <w:rsid w:val="362823B4"/>
    <w:rsid w:val="369431E5"/>
    <w:rsid w:val="36984B1F"/>
    <w:rsid w:val="36A77CE8"/>
    <w:rsid w:val="37343566"/>
    <w:rsid w:val="37517D16"/>
    <w:rsid w:val="37554F21"/>
    <w:rsid w:val="37D71AFE"/>
    <w:rsid w:val="387F707A"/>
    <w:rsid w:val="3895231A"/>
    <w:rsid w:val="38C12E48"/>
    <w:rsid w:val="38F14FEE"/>
    <w:rsid w:val="3969226D"/>
    <w:rsid w:val="399361FA"/>
    <w:rsid w:val="39C804E4"/>
    <w:rsid w:val="39F22E7F"/>
    <w:rsid w:val="39F664CD"/>
    <w:rsid w:val="3A423141"/>
    <w:rsid w:val="3AD20ED3"/>
    <w:rsid w:val="3AE06EAF"/>
    <w:rsid w:val="3AFC2D8F"/>
    <w:rsid w:val="3B23798B"/>
    <w:rsid w:val="3B4B6EC2"/>
    <w:rsid w:val="3B744D42"/>
    <w:rsid w:val="3B7D67B2"/>
    <w:rsid w:val="3C0F42E3"/>
    <w:rsid w:val="3CAB50AF"/>
    <w:rsid w:val="3CEB3BE1"/>
    <w:rsid w:val="3D906DF8"/>
    <w:rsid w:val="3E121E6D"/>
    <w:rsid w:val="3ED941D3"/>
    <w:rsid w:val="3EE93995"/>
    <w:rsid w:val="3EF275BD"/>
    <w:rsid w:val="3F1208B7"/>
    <w:rsid w:val="3F595418"/>
    <w:rsid w:val="3F7111C4"/>
    <w:rsid w:val="3FC53FE6"/>
    <w:rsid w:val="3FF931C3"/>
    <w:rsid w:val="401B5086"/>
    <w:rsid w:val="40974A5D"/>
    <w:rsid w:val="40F40807"/>
    <w:rsid w:val="41A80E56"/>
    <w:rsid w:val="4233685E"/>
    <w:rsid w:val="423C003F"/>
    <w:rsid w:val="42663D4C"/>
    <w:rsid w:val="429648FB"/>
    <w:rsid w:val="42C22DCC"/>
    <w:rsid w:val="447B1655"/>
    <w:rsid w:val="458F784C"/>
    <w:rsid w:val="45A57BAB"/>
    <w:rsid w:val="46991449"/>
    <w:rsid w:val="471D6935"/>
    <w:rsid w:val="473D49A2"/>
    <w:rsid w:val="4750567A"/>
    <w:rsid w:val="47BF08FD"/>
    <w:rsid w:val="48037B44"/>
    <w:rsid w:val="481F78A5"/>
    <w:rsid w:val="483A0AFC"/>
    <w:rsid w:val="49A02BF2"/>
    <w:rsid w:val="4A9168FF"/>
    <w:rsid w:val="4AA3311E"/>
    <w:rsid w:val="4D26294C"/>
    <w:rsid w:val="4D7718FA"/>
    <w:rsid w:val="4DF06083"/>
    <w:rsid w:val="4E840D55"/>
    <w:rsid w:val="4E8F702B"/>
    <w:rsid w:val="4E915049"/>
    <w:rsid w:val="4F140538"/>
    <w:rsid w:val="4F2F5529"/>
    <w:rsid w:val="4FA349B4"/>
    <w:rsid w:val="4FE8267B"/>
    <w:rsid w:val="50304DD6"/>
    <w:rsid w:val="50892038"/>
    <w:rsid w:val="508D3D10"/>
    <w:rsid w:val="50CD227F"/>
    <w:rsid w:val="50D90179"/>
    <w:rsid w:val="50DC6E4D"/>
    <w:rsid w:val="51746F7E"/>
    <w:rsid w:val="51C24B25"/>
    <w:rsid w:val="524633DD"/>
    <w:rsid w:val="527C36DB"/>
    <w:rsid w:val="52871D03"/>
    <w:rsid w:val="52A94877"/>
    <w:rsid w:val="52AC548B"/>
    <w:rsid w:val="530923F1"/>
    <w:rsid w:val="5321351C"/>
    <w:rsid w:val="53334C52"/>
    <w:rsid w:val="53625679"/>
    <w:rsid w:val="54375063"/>
    <w:rsid w:val="553E30A6"/>
    <w:rsid w:val="55515F58"/>
    <w:rsid w:val="55C83EB5"/>
    <w:rsid w:val="56523C60"/>
    <w:rsid w:val="56920264"/>
    <w:rsid w:val="57941139"/>
    <w:rsid w:val="58CC0285"/>
    <w:rsid w:val="59155139"/>
    <w:rsid w:val="5951516E"/>
    <w:rsid w:val="59FA2695"/>
    <w:rsid w:val="5A3D35FF"/>
    <w:rsid w:val="5A513DD2"/>
    <w:rsid w:val="5A621430"/>
    <w:rsid w:val="5B0129F9"/>
    <w:rsid w:val="5C044B1C"/>
    <w:rsid w:val="5C92419D"/>
    <w:rsid w:val="5D346BB3"/>
    <w:rsid w:val="5DA22278"/>
    <w:rsid w:val="5DBF673C"/>
    <w:rsid w:val="5DE07FCD"/>
    <w:rsid w:val="5DEB6086"/>
    <w:rsid w:val="5E1C2185"/>
    <w:rsid w:val="5E544ADC"/>
    <w:rsid w:val="5E7D341B"/>
    <w:rsid w:val="5EFB74F7"/>
    <w:rsid w:val="5F425B0B"/>
    <w:rsid w:val="5FE81E6E"/>
    <w:rsid w:val="600B5B57"/>
    <w:rsid w:val="601D3384"/>
    <w:rsid w:val="60264602"/>
    <w:rsid w:val="604E6E9F"/>
    <w:rsid w:val="607765F8"/>
    <w:rsid w:val="610E00AA"/>
    <w:rsid w:val="61646851"/>
    <w:rsid w:val="61832D6C"/>
    <w:rsid w:val="61EA2FC8"/>
    <w:rsid w:val="61F20C2B"/>
    <w:rsid w:val="625C5690"/>
    <w:rsid w:val="62B40AA6"/>
    <w:rsid w:val="62E02800"/>
    <w:rsid w:val="63945997"/>
    <w:rsid w:val="640964D8"/>
    <w:rsid w:val="64571614"/>
    <w:rsid w:val="646479B5"/>
    <w:rsid w:val="64717AAE"/>
    <w:rsid w:val="65F4394B"/>
    <w:rsid w:val="6643140D"/>
    <w:rsid w:val="66816BD5"/>
    <w:rsid w:val="669B7137"/>
    <w:rsid w:val="66B47290"/>
    <w:rsid w:val="67300BC4"/>
    <w:rsid w:val="673538D6"/>
    <w:rsid w:val="67390820"/>
    <w:rsid w:val="68374DD8"/>
    <w:rsid w:val="68416F84"/>
    <w:rsid w:val="68655402"/>
    <w:rsid w:val="68800B56"/>
    <w:rsid w:val="68AB75BA"/>
    <w:rsid w:val="68C15AC8"/>
    <w:rsid w:val="696716F3"/>
    <w:rsid w:val="699624CC"/>
    <w:rsid w:val="69DC6335"/>
    <w:rsid w:val="69EC19DE"/>
    <w:rsid w:val="6A365B13"/>
    <w:rsid w:val="6A7E3AF9"/>
    <w:rsid w:val="6AF45BDE"/>
    <w:rsid w:val="6B004D46"/>
    <w:rsid w:val="6BED5F23"/>
    <w:rsid w:val="6C13004D"/>
    <w:rsid w:val="6C4B6B8F"/>
    <w:rsid w:val="6C5C5432"/>
    <w:rsid w:val="6D14599C"/>
    <w:rsid w:val="6D556FC7"/>
    <w:rsid w:val="6D6C2507"/>
    <w:rsid w:val="6D9858B3"/>
    <w:rsid w:val="6DD905AB"/>
    <w:rsid w:val="6E85154F"/>
    <w:rsid w:val="6EBE32A7"/>
    <w:rsid w:val="6EFE75B2"/>
    <w:rsid w:val="6F025D6F"/>
    <w:rsid w:val="6F540D50"/>
    <w:rsid w:val="6F6201DB"/>
    <w:rsid w:val="6F6E4514"/>
    <w:rsid w:val="6FAA1525"/>
    <w:rsid w:val="6FCE416C"/>
    <w:rsid w:val="6FD42E97"/>
    <w:rsid w:val="71AB146D"/>
    <w:rsid w:val="71ED3DEA"/>
    <w:rsid w:val="72216A32"/>
    <w:rsid w:val="72964A01"/>
    <w:rsid w:val="729D4D41"/>
    <w:rsid w:val="732E5EF6"/>
    <w:rsid w:val="73431782"/>
    <w:rsid w:val="748A409E"/>
    <w:rsid w:val="74AE1D28"/>
    <w:rsid w:val="750F33C7"/>
    <w:rsid w:val="754E333C"/>
    <w:rsid w:val="75C86BCA"/>
    <w:rsid w:val="75E71FC3"/>
    <w:rsid w:val="767B1826"/>
    <w:rsid w:val="76B31878"/>
    <w:rsid w:val="76B7525F"/>
    <w:rsid w:val="76CB45D1"/>
    <w:rsid w:val="76E32E43"/>
    <w:rsid w:val="77633B20"/>
    <w:rsid w:val="776571EA"/>
    <w:rsid w:val="77DE215D"/>
    <w:rsid w:val="785A469E"/>
    <w:rsid w:val="79256FCE"/>
    <w:rsid w:val="79560660"/>
    <w:rsid w:val="79B03994"/>
    <w:rsid w:val="7A5F3A7E"/>
    <w:rsid w:val="7A9634EB"/>
    <w:rsid w:val="7B0A0497"/>
    <w:rsid w:val="7BB34F44"/>
    <w:rsid w:val="7C0915CC"/>
    <w:rsid w:val="7C7A3374"/>
    <w:rsid w:val="7CC73E7F"/>
    <w:rsid w:val="7DA82D34"/>
    <w:rsid w:val="7DC41937"/>
    <w:rsid w:val="7E50245D"/>
    <w:rsid w:val="7E5112C6"/>
    <w:rsid w:val="7E710B6D"/>
    <w:rsid w:val="7F49181A"/>
    <w:rsid w:val="7F8258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4"/>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link w:val="11"/>
    <w:qFormat/>
    <w:uiPriority w:val="0"/>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0"/>
    <w:rPr>
      <w:rFonts w:eastAsia="仿宋_GB2312"/>
      <w:sz w:val="32"/>
      <w:szCs w:val="24"/>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styleId="8">
    <w:name w:val="Body Text First Indent"/>
    <w:basedOn w:val="2"/>
    <w:qFormat/>
    <w:uiPriority w:val="0"/>
    <w:pPr>
      <w:widowControl/>
      <w:spacing w:after="0" w:afterLines="0"/>
      <w:ind w:firstLine="420" w:firstLineChars="100"/>
      <w:jc w:val="left"/>
    </w:pPr>
    <w:rPr>
      <w:rFonts w:ascii="Times New Roman" w:hAnsi="Times New Roman"/>
      <w:kern w:val="0"/>
    </w:rPr>
  </w:style>
  <w:style w:type="paragraph" w:customStyle="1" w:styleId="11">
    <w:name w:val=" Char Char Char Char Char Char"/>
    <w:basedOn w:val="1"/>
    <w:link w:val="10"/>
    <w:qFormat/>
    <w:uiPriority w:val="0"/>
  </w:style>
  <w:style w:type="character" w:styleId="12">
    <w:name w:val="page number"/>
    <w:basedOn w:val="10"/>
    <w:qFormat/>
    <w:uiPriority w:val="0"/>
  </w:style>
  <w:style w:type="paragraph" w:customStyle="1" w:styleId="13">
    <w:name w:val="Char Char Char Char Char Char"/>
    <w:basedOn w:val="1"/>
    <w:qFormat/>
    <w:uiPriority w:val="0"/>
  </w:style>
  <w:style w:type="paragraph" w:customStyle="1" w:styleId="14">
    <w:name w:val="默认段落字体 Para Char"/>
    <w:basedOn w:val="1"/>
    <w:qFormat/>
    <w:uiPriority w:val="0"/>
    <w:pPr>
      <w:widowControl/>
      <w:adjustRightInd w:val="0"/>
      <w:snapToGrid w:val="0"/>
      <w:spacing w:after="200" w:afterLines="0" w:line="360" w:lineRule="auto"/>
      <w:jc w:val="left"/>
    </w:pPr>
    <w:rPr>
      <w:rFonts w:hint="eastAsia" w:ascii="Tahoma" w:hAnsi="Tahoma" w:eastAsia="微软雅黑"/>
      <w:kern w:val="0"/>
      <w:sz w:val="22"/>
    </w:rPr>
  </w:style>
  <w:style w:type="character" w:customStyle="1" w:styleId="15">
    <w:name w:val="font21"/>
    <w:basedOn w:val="10"/>
    <w:qFormat/>
    <w:uiPriority w:val="0"/>
    <w:rPr>
      <w:rFonts w:hint="default" w:ascii="Times New Roman" w:hAnsi="Times New Roman" w:cs="Times New Roman"/>
      <w:b/>
      <w:bCs/>
      <w:color w:val="000000"/>
      <w:sz w:val="24"/>
      <w:szCs w:val="24"/>
      <w:u w:val="none"/>
    </w:rPr>
  </w:style>
  <w:style w:type="character" w:customStyle="1" w:styleId="16">
    <w:name w:val="font61"/>
    <w:basedOn w:val="10"/>
    <w:qFormat/>
    <w:uiPriority w:val="0"/>
    <w:rPr>
      <w:rFonts w:hint="eastAsia" w:ascii="仿宋_GB2312" w:eastAsia="仿宋_GB2312"/>
      <w:b/>
      <w:bCs/>
      <w:color w:val="000000"/>
      <w:sz w:val="22"/>
      <w:szCs w:val="22"/>
      <w:u w:val="none"/>
    </w:rPr>
  </w:style>
  <w:style w:type="character" w:customStyle="1" w:styleId="17">
    <w:name w:val="font01"/>
    <w:basedOn w:val="10"/>
    <w:qFormat/>
    <w:uiPriority w:val="0"/>
    <w:rPr>
      <w:rFonts w:hint="eastAsia" w:ascii="仿宋_GB2312" w:eastAsia="仿宋_GB2312"/>
      <w:color w:val="000000"/>
      <w:sz w:val="24"/>
      <w:szCs w:val="24"/>
      <w:u w:val="none"/>
    </w:rPr>
  </w:style>
  <w:style w:type="character" w:customStyle="1" w:styleId="18">
    <w:name w:val="font71"/>
    <w:basedOn w:val="10"/>
    <w:qFormat/>
    <w:uiPriority w:val="0"/>
    <w:rPr>
      <w:rFonts w:hint="eastAsia" w:ascii="仿宋_GB2312" w:eastAsia="仿宋_GB2312"/>
      <w:b/>
      <w:bCs/>
      <w:color w:val="000000"/>
      <w:sz w:val="24"/>
      <w:szCs w:val="24"/>
      <w:u w:val="none"/>
    </w:rPr>
  </w:style>
  <w:style w:type="character" w:customStyle="1" w:styleId="19">
    <w:name w:val="font81"/>
    <w:basedOn w:val="10"/>
    <w:qFormat/>
    <w:uiPriority w:val="0"/>
    <w:rPr>
      <w:rFonts w:hint="eastAsia" w:ascii="仿宋_GB2312" w:eastAsia="仿宋_GB2312"/>
      <w:b/>
      <w:bCs/>
      <w:color w:val="000000"/>
      <w:sz w:val="24"/>
      <w:szCs w:val="24"/>
      <w:u w:val="none"/>
    </w:rPr>
  </w:style>
  <w:style w:type="character" w:customStyle="1" w:styleId="20">
    <w:name w:val="font101"/>
    <w:basedOn w:val="10"/>
    <w:qFormat/>
    <w:uiPriority w:val="0"/>
    <w:rPr>
      <w:rFonts w:hint="default" w:ascii="Times New Roman" w:hAnsi="Times New Roman" w:cs="Times New Roman"/>
      <w:color w:val="000000"/>
      <w:sz w:val="24"/>
      <w:szCs w:val="24"/>
      <w:u w:val="none"/>
    </w:rPr>
  </w:style>
  <w:style w:type="character" w:customStyle="1" w:styleId="21">
    <w:name w:val="font11"/>
    <w:basedOn w:val="10"/>
    <w:qFormat/>
    <w:uiPriority w:val="0"/>
    <w:rPr>
      <w:rFonts w:hint="default" w:ascii="Times New Roman" w:hAnsi="Times New Roman" w:cs="Times New Roman"/>
      <w:b/>
      <w:bCs/>
      <w:color w:val="000000"/>
      <w:sz w:val="24"/>
      <w:szCs w:val="24"/>
      <w:u w:val="none"/>
    </w:rPr>
  </w:style>
  <w:style w:type="character" w:customStyle="1" w:styleId="22">
    <w:name w:val="font41"/>
    <w:basedOn w:val="10"/>
    <w:qFormat/>
    <w:uiPriority w:val="0"/>
    <w:rPr>
      <w:rFonts w:hint="eastAsia" w:ascii="宋体" w:hAnsi="宋体" w:eastAsia="宋体"/>
      <w:b/>
      <w:bCs/>
      <w:color w:val="000000"/>
      <w:sz w:val="24"/>
      <w:szCs w:val="24"/>
      <w:u w:val="none"/>
    </w:rPr>
  </w:style>
  <w:style w:type="character" w:customStyle="1" w:styleId="23">
    <w:name w:val="font31"/>
    <w:basedOn w:val="10"/>
    <w:qFormat/>
    <w:uiPriority w:val="0"/>
    <w:rPr>
      <w:rFonts w:hint="eastAsia" w:ascii="宋体" w:hAnsi="宋体" w:eastAsia="宋体"/>
      <w:b/>
      <w:bCs/>
      <w:color w:val="000000"/>
      <w:sz w:val="24"/>
      <w:szCs w:val="24"/>
      <w:u w:val="none"/>
    </w:rPr>
  </w:style>
  <w:style w:type="character" w:customStyle="1" w:styleId="24">
    <w:name w:val="NormalCharacter"/>
    <w:link w:val="1"/>
    <w:semiHidden/>
    <w:qFormat/>
    <w:uiPriority w:val="0"/>
    <w:rPr>
      <w:rFonts w:ascii="Times New Roman" w:hAnsi="Times New Roman" w:eastAsia="宋体" w:cs="Times New Roman"/>
      <w:kern w:val="2"/>
      <w:sz w:val="21"/>
      <w:lang w:val="en-US" w:eastAsia="zh-CN" w:bidi="ar-SA"/>
    </w:rPr>
  </w:style>
  <w:style w:type="paragraph" w:customStyle="1" w:styleId="25">
    <w:name w:val="列出段落1"/>
    <w:basedOn w:val="1"/>
    <w:qFormat/>
    <w:uiPriority w:val="34"/>
    <w:pPr>
      <w:ind w:firstLine="420" w:firstLineChars="200"/>
    </w:pPr>
  </w:style>
  <w:style w:type="paragraph" w:customStyle="1" w:styleId="26">
    <w:name w:val="p0"/>
    <w:basedOn w:val="1"/>
    <w:qFormat/>
    <w:uiPriority w:val="0"/>
    <w:pPr>
      <w:adjustRightInd/>
      <w:snapToGrid/>
      <w:spacing w:after="0" w:afterLines="0"/>
    </w:pPr>
    <w:rPr>
      <w:rFonts w:ascii="Times New Roman" w:hAnsi="Times New Roman" w:eastAsia="宋体" w:cs="Times New Roman"/>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h\Desktop\2020&#24180;&#21306;&#20154;&#22823;2019&#24180;&#24230;&#20915;&#31639;&#25209;&#22797;\&#31295;&#20116;&#21306;&#20154;&#24120;&#22996;&#20250;&#35758;2019&#24180;&#20915;&#31639;&#21644;2020&#24180;1-6&#26376;&#20221;&#39044;&#31639;&#25191;&#34892;&#24773;&#20917;&#21450;&#19979;&#21322;&#24180;&#24037;&#20316;&#35745;&#21010;&#21644;&#20030;&#25514;%20-&#21306;&#20154;&#22823;&#35270;&#23519;&#27719;&#25253;&#31295;.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稿五区人常委会议2019年决算和2020年1-6月份预算执行情况及下半年工作计划和举措 -区人大视察汇报稿.doc</Template>
  <Pages>23</Pages>
  <Words>10337</Words>
  <Characters>14746</Characters>
  <Lines>104</Lines>
  <Paragraphs>29</Paragraphs>
  <TotalTime>33</TotalTime>
  <ScaleCrop>false</ScaleCrop>
  <LinksUpToDate>false</LinksUpToDate>
  <CharactersWithSpaces>14848</CharactersWithSpaces>
  <Application>WPS Office_11.1.0.12349_F1E327BC-269C-435d-A152-05C5408002CA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2020-07-16T07:26:00Z</dcterms:created>
  <dc:creator>jjh</dc:creator>
  <cp:lastModifiedBy>Administrator</cp:lastModifiedBy>
  <cp:lastPrinted>2022-07-21T03:05:00Z</cp:lastPrinted>
  <dcterms:modified xsi:type="dcterms:W3CDTF">2022-08-22T03:08:20Z</dcterms:modified>
  <dc:title>关于2009年区级财政收支决算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2052-11.1.0.12349</vt:lpwstr>
  </property>
  <property fmtid="{D5CDD505-2E9C-101B-9397-08002B2CF9AE}" pid="3" name="ICV">
    <vt:lpwstr>65A56B86F6D4400BB6CFB72C8938B67F</vt:lpwstr>
  </property>
</Properties>
</file>