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rPr>
          <w:sz w:val="32"/>
          <w:szCs w:val="32"/>
        </w:rPr>
      </w:pPr>
      <w:bookmarkStart w:id="29" w:name="_GoBack"/>
      <w:bookmarkEnd w:id="29"/>
    </w:p>
    <w:p>
      <w:pPr>
        <w:widowControl/>
        <w:spacing w:line="276" w:lineRule="auto"/>
        <w:jc w:val="center"/>
        <w:rPr>
          <w:rFonts w:ascii="方正小标宋简体" w:eastAsia="方正小标宋简体"/>
          <w:sz w:val="84"/>
          <w:szCs w:val="84"/>
        </w:rPr>
      </w:pPr>
    </w:p>
    <w:p>
      <w:pPr>
        <w:widowControl/>
        <w:spacing w:line="276" w:lineRule="auto"/>
        <w:jc w:val="center"/>
        <w:rPr>
          <w:rFonts w:ascii="方正小标宋简体" w:eastAsia="方正小标宋简体"/>
          <w:sz w:val="84"/>
          <w:szCs w:val="84"/>
        </w:rPr>
      </w:pPr>
    </w:p>
    <w:p>
      <w:pPr>
        <w:widowControl/>
        <w:spacing w:line="276" w:lineRule="auto"/>
        <w:jc w:val="center"/>
        <w:rPr>
          <w:rFonts w:ascii="方正小标宋简体" w:eastAsia="方正小标宋简体"/>
          <w:sz w:val="84"/>
          <w:szCs w:val="84"/>
        </w:rPr>
      </w:pPr>
    </w:p>
    <w:p>
      <w:pPr>
        <w:widowControl/>
        <w:spacing w:line="276" w:lineRule="auto"/>
        <w:jc w:val="center"/>
        <w:rPr>
          <w:rFonts w:hint="eastAsia" w:ascii="方正小标宋简体" w:eastAsia="方正小标宋简体" w:hAnsiTheme="minorHAnsi" w:cstheme="minorBidi"/>
          <w:sz w:val="84"/>
          <w:szCs w:val="84"/>
        </w:rPr>
      </w:pPr>
      <w:r>
        <w:rPr>
          <w:rFonts w:hint="eastAsia" w:ascii="方正小标宋简体" w:eastAsia="方正小标宋简体" w:hAnsiTheme="minorHAnsi" w:cstheme="minorBidi"/>
          <w:sz w:val="84"/>
          <w:szCs w:val="84"/>
          <w:lang w:eastAsia="zh-CN"/>
        </w:rPr>
        <w:t>2025</w:t>
      </w:r>
      <w:r>
        <w:rPr>
          <w:rFonts w:hint="eastAsia" w:ascii="方正小标宋简体" w:eastAsia="方正小标宋简体" w:hAnsiTheme="minorHAnsi" w:cstheme="minorBidi"/>
          <w:sz w:val="84"/>
          <w:szCs w:val="84"/>
        </w:rPr>
        <w:t>年度</w:t>
      </w:r>
    </w:p>
    <w:p>
      <w:pPr>
        <w:widowControl/>
        <w:spacing w:line="276" w:lineRule="auto"/>
        <w:jc w:val="center"/>
        <w:rPr>
          <w:rFonts w:hint="eastAsia" w:ascii="方正小标宋简体" w:eastAsia="方正小标宋简体" w:hAnsiTheme="minorHAnsi" w:cstheme="minorBidi"/>
          <w:sz w:val="84"/>
          <w:szCs w:val="84"/>
        </w:rPr>
      </w:pPr>
      <w:r>
        <w:rPr>
          <w:rFonts w:hint="eastAsia" w:ascii="方正小标宋简体" w:eastAsia="方正小标宋简体" w:hAnsiTheme="minorHAnsi" w:cstheme="minorBidi"/>
          <w:sz w:val="84"/>
          <w:szCs w:val="84"/>
          <w:lang w:val="en-US" w:eastAsia="zh-CN"/>
        </w:rPr>
        <w:t>莆田市荔城区西天尾工业园服务中心</w:t>
      </w:r>
      <w:r>
        <w:rPr>
          <w:rFonts w:hint="eastAsia" w:ascii="方正小标宋简体" w:eastAsia="方正小标宋简体" w:hAnsiTheme="minorHAnsi" w:cstheme="minorBidi"/>
          <w:sz w:val="84"/>
          <w:szCs w:val="84"/>
        </w:rPr>
        <w:t>单位预算</w:t>
      </w:r>
    </w:p>
    <w:p>
      <w:pPr>
        <w:widowControl/>
        <w:spacing w:line="276" w:lineRule="auto"/>
        <w:jc w:val="center"/>
        <w:rPr>
          <w:rFonts w:hint="eastAsia" w:ascii="方正小标宋简体" w:eastAsia="方正小标宋简体"/>
          <w:sz w:val="84"/>
          <w:szCs w:val="84"/>
        </w:rPr>
      </w:pPr>
    </w:p>
    <w:p>
      <w:pPr>
        <w:widowControl/>
        <w:spacing w:line="276" w:lineRule="auto"/>
        <w:rPr>
          <w:rFonts w:ascii="方正小标宋简体" w:eastAsia="方正小标宋简体"/>
          <w:sz w:val="84"/>
          <w:szCs w:val="84"/>
        </w:rPr>
      </w:pPr>
    </w:p>
    <w:p>
      <w:pPr>
        <w:autoSpaceDE w:val="0"/>
        <w:autoSpaceDN w:val="0"/>
        <w:jc w:val="center"/>
        <w:rPr>
          <w:rFonts w:ascii="宋体" w:hAnsi="宋体" w:eastAsia="宋体"/>
          <w:b/>
          <w:sz w:val="36"/>
        </w:rPr>
        <w:sectPr>
          <w:headerReference r:id="rId3" w:type="default"/>
          <w:headerReference r:id="rId4" w:type="even"/>
          <w:pgSz w:w="11906" w:h="16838"/>
          <w:pgMar w:top="1440" w:right="1134" w:bottom="1440" w:left="1134" w:header="851" w:footer="992" w:gutter="0"/>
          <w:pgNumType w:fmt="decimal"/>
          <w:cols w:space="720" w:num="1"/>
          <w:docGrid w:type="lines" w:linePitch="312" w:charSpace="0"/>
        </w:sectPr>
      </w:pPr>
    </w:p>
    <w:p>
      <w:pPr>
        <w:autoSpaceDE w:val="0"/>
        <w:autoSpaceDN w:val="0"/>
        <w:jc w:val="left"/>
        <w:rPr>
          <w:rFonts w:hint="eastAsia" w:ascii="方正小标宋简体" w:hAnsi="宋体" w:eastAsia="方正小标宋简体"/>
          <w:b w:val="0"/>
          <w:bCs/>
          <w:sz w:val="44"/>
          <w:szCs w:val="44"/>
        </w:rPr>
      </w:pPr>
    </w:p>
    <w:p>
      <w:pPr>
        <w:autoSpaceDE w:val="0"/>
        <w:autoSpaceDN w:val="0"/>
        <w:jc w:val="center"/>
        <w:rPr>
          <w:rFonts w:hint="eastAsia" w:ascii="方正小标宋简体" w:eastAsia="方正小标宋简体" w:cs="Times New Roman" w:hAnsiTheme="majorEastAsia"/>
          <w:kern w:val="0"/>
          <w:sz w:val="44"/>
          <w:szCs w:val="20"/>
          <w:lang w:val="en-US" w:eastAsia="zh-CN" w:bidi="ar-SA"/>
        </w:rPr>
      </w:pPr>
      <w:r>
        <w:rPr>
          <w:rFonts w:hint="eastAsia" w:ascii="方正小标宋简体" w:eastAsia="方正小标宋简体" w:cs="Times New Roman" w:hAnsiTheme="majorEastAsia"/>
          <w:kern w:val="0"/>
          <w:sz w:val="44"/>
          <w:szCs w:val="20"/>
          <w:lang w:val="en-US" w:eastAsia="zh-CN" w:bidi="ar-SA"/>
        </w:rPr>
        <w:t>目  录</w:t>
      </w:r>
    </w:p>
    <w:p/>
    <w:p>
      <w:pPr>
        <w:pStyle w:val="7"/>
        <w:tabs>
          <w:tab w:val="right" w:leader="dot" w:pos="8306"/>
        </w:tabs>
        <w:rPr>
          <w:rFonts w:hint="eastAsia" w:ascii="仿宋" w:hAnsi="仿宋" w:eastAsia="仿宋" w:cs="仿宋"/>
          <w:b/>
          <w:bCs/>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"1-3" \h \u </w:instrText>
      </w:r>
      <w:r>
        <w:rPr>
          <w:rFonts w:hint="eastAsia" w:ascii="仿宋" w:hAnsi="仿宋" w:eastAsia="仿宋" w:cs="仿宋"/>
          <w:sz w:val="36"/>
          <w:szCs w:val="36"/>
        </w:rPr>
        <w:fldChar w:fldCharType="separate"/>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_Toc25532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第一部分</w:t>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_Toc7828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val="en-US" w:eastAsia="zh-CN"/>
        </w:rPr>
        <w:t>单位</w:t>
      </w:r>
      <w:r>
        <w:rPr>
          <w:rFonts w:hint="eastAsia" w:ascii="仿宋" w:hAnsi="仿宋" w:eastAsia="仿宋" w:cs="仿宋"/>
          <w:b/>
          <w:bCs/>
          <w:sz w:val="36"/>
          <w:szCs w:val="36"/>
        </w:rPr>
        <w:t>概况</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_Toc7828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1</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_Toc8772 </w:instrText>
      </w:r>
      <w:r>
        <w:rPr>
          <w:rFonts w:hint="eastAsia" w:ascii="仿宋" w:hAnsi="仿宋" w:eastAsia="仿宋" w:cs="仿宋"/>
          <w:sz w:val="36"/>
          <w:szCs w:val="36"/>
        </w:rPr>
        <w:fldChar w:fldCharType="separate"/>
      </w:r>
      <w:r>
        <w:rPr>
          <w:rFonts w:hint="eastAsia" w:ascii="仿宋" w:hAnsi="仿宋" w:eastAsia="仿宋" w:cs="仿宋"/>
          <w:bCs/>
          <w:sz w:val="36"/>
          <w:szCs w:val="36"/>
          <w:lang w:val="en-US" w:eastAsia="zh-CN"/>
        </w:rPr>
        <w:t>一、单位主要职责</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_Toc8772 \h </w:instrText>
      </w:r>
      <w:r>
        <w:rPr>
          <w:rFonts w:hint="eastAsia" w:ascii="仿宋" w:hAnsi="仿宋" w:eastAsia="仿宋" w:cs="仿宋"/>
          <w:sz w:val="36"/>
          <w:szCs w:val="36"/>
        </w:rPr>
        <w:fldChar w:fldCharType="separate"/>
      </w:r>
      <w:r>
        <w:rPr>
          <w:rFonts w:hint="eastAsia" w:ascii="仿宋" w:hAnsi="仿宋" w:eastAsia="仿宋" w:cs="仿宋"/>
          <w:sz w:val="36"/>
          <w:szCs w:val="36"/>
        </w:rPr>
        <w:t>2</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_Toc13175 </w:instrText>
      </w:r>
      <w:r>
        <w:rPr>
          <w:rFonts w:hint="eastAsia" w:ascii="仿宋" w:hAnsi="仿宋" w:eastAsia="仿宋" w:cs="仿宋"/>
          <w:sz w:val="36"/>
          <w:szCs w:val="36"/>
        </w:rPr>
        <w:fldChar w:fldCharType="separate"/>
      </w:r>
      <w:r>
        <w:rPr>
          <w:rFonts w:hint="eastAsia" w:ascii="仿宋" w:hAnsi="仿宋" w:eastAsia="仿宋" w:cs="仿宋"/>
          <w:bCs/>
          <w:sz w:val="36"/>
          <w:szCs w:val="36"/>
          <w:lang w:val="en-US" w:eastAsia="zh-CN"/>
        </w:rPr>
        <w:t>二、单位预算单位构成</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_Toc13175 \h </w:instrText>
      </w:r>
      <w:r>
        <w:rPr>
          <w:rFonts w:hint="eastAsia" w:ascii="仿宋" w:hAnsi="仿宋" w:eastAsia="仿宋" w:cs="仿宋"/>
          <w:sz w:val="36"/>
          <w:szCs w:val="36"/>
        </w:rPr>
        <w:fldChar w:fldCharType="separate"/>
      </w:r>
      <w:r>
        <w:rPr>
          <w:rFonts w:hint="eastAsia" w:ascii="仿宋" w:hAnsi="仿宋" w:eastAsia="仿宋" w:cs="仿宋"/>
          <w:sz w:val="36"/>
          <w:szCs w:val="36"/>
        </w:rPr>
        <w:t>2</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_Toc16452 </w:instrText>
      </w:r>
      <w:r>
        <w:rPr>
          <w:rFonts w:hint="eastAsia" w:ascii="仿宋" w:hAnsi="仿宋" w:eastAsia="仿宋" w:cs="仿宋"/>
          <w:sz w:val="36"/>
          <w:szCs w:val="36"/>
        </w:rPr>
        <w:fldChar w:fldCharType="separate"/>
      </w:r>
      <w:r>
        <w:rPr>
          <w:rFonts w:hint="eastAsia" w:ascii="仿宋" w:hAnsi="仿宋" w:eastAsia="仿宋" w:cs="仿宋"/>
          <w:bCs/>
          <w:sz w:val="36"/>
          <w:szCs w:val="36"/>
          <w:lang w:val="en-US" w:eastAsia="zh-CN"/>
        </w:rPr>
        <w:t>三、单位主要工作任务</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_Toc16452 \h </w:instrText>
      </w:r>
      <w:r>
        <w:rPr>
          <w:rFonts w:hint="eastAsia" w:ascii="仿宋" w:hAnsi="仿宋" w:eastAsia="仿宋" w:cs="仿宋"/>
          <w:sz w:val="36"/>
          <w:szCs w:val="36"/>
        </w:rPr>
        <w:fldChar w:fldCharType="separate"/>
      </w:r>
      <w:r>
        <w:rPr>
          <w:rFonts w:hint="eastAsia" w:ascii="仿宋" w:hAnsi="仿宋" w:eastAsia="仿宋" w:cs="仿宋"/>
          <w:sz w:val="36"/>
          <w:szCs w:val="36"/>
        </w:rPr>
        <w:t>2</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_Toc22813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第二部分</w:t>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_Toc3971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eastAsia="zh-CN"/>
        </w:rPr>
        <w:t>2025</w:t>
      </w:r>
      <w:r>
        <w:rPr>
          <w:rFonts w:hint="eastAsia" w:ascii="仿宋" w:hAnsi="仿宋" w:eastAsia="仿宋" w:cs="仿宋"/>
          <w:b/>
          <w:bCs/>
          <w:sz w:val="36"/>
          <w:szCs w:val="36"/>
        </w:rPr>
        <w:t>年度</w:t>
      </w:r>
      <w:r>
        <w:rPr>
          <w:rFonts w:hint="eastAsia" w:ascii="仿宋" w:hAnsi="仿宋" w:eastAsia="仿宋" w:cs="仿宋"/>
          <w:b/>
          <w:bCs/>
          <w:sz w:val="36"/>
          <w:szCs w:val="36"/>
          <w:lang w:val="en-US" w:eastAsia="zh-CN"/>
        </w:rPr>
        <w:t>单位</w:t>
      </w:r>
      <w:r>
        <w:rPr>
          <w:rFonts w:hint="eastAsia" w:ascii="仿宋" w:hAnsi="仿宋" w:eastAsia="仿宋" w:cs="仿宋"/>
          <w:b/>
          <w:bCs/>
          <w:sz w:val="36"/>
          <w:szCs w:val="36"/>
        </w:rPr>
        <w:t>预算表</w:t>
      </w:r>
      <w: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_Toc3971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3</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_Toc28016 </w:instrText>
      </w:r>
      <w:r>
        <w:rPr>
          <w:rFonts w:hint="eastAsia" w:ascii="仿宋" w:hAnsi="仿宋" w:eastAsia="仿宋" w:cs="仿宋"/>
          <w:sz w:val="36"/>
          <w:szCs w:val="36"/>
        </w:rPr>
        <w:fldChar w:fldCharType="separate"/>
      </w:r>
      <w:r>
        <w:rPr>
          <w:rFonts w:hint="eastAsia" w:ascii="仿宋" w:hAnsi="仿宋" w:eastAsia="仿宋" w:cs="仿宋"/>
          <w:bCs/>
          <w:sz w:val="36"/>
          <w:szCs w:val="36"/>
        </w:rPr>
        <w:t>一、收支预算总表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_Toc28016 \h </w:instrText>
      </w:r>
      <w:r>
        <w:rPr>
          <w:rFonts w:hint="eastAsia" w:ascii="仿宋" w:hAnsi="仿宋" w:eastAsia="仿宋" w:cs="仿宋"/>
          <w:sz w:val="36"/>
          <w:szCs w:val="36"/>
        </w:rPr>
        <w:fldChar w:fldCharType="separate"/>
      </w:r>
      <w:r>
        <w:rPr>
          <w:rFonts w:hint="eastAsia" w:ascii="仿宋" w:hAnsi="仿宋" w:eastAsia="仿宋" w:cs="仿宋"/>
          <w:sz w:val="36"/>
          <w:szCs w:val="36"/>
        </w:rPr>
        <w:t>4</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_Toc1148 </w:instrText>
      </w:r>
      <w:r>
        <w:rPr>
          <w:rFonts w:hint="eastAsia" w:ascii="仿宋" w:hAnsi="仿宋" w:eastAsia="仿宋" w:cs="仿宋"/>
          <w:sz w:val="36"/>
          <w:szCs w:val="36"/>
        </w:rPr>
        <w:fldChar w:fldCharType="separate"/>
      </w:r>
      <w:r>
        <w:rPr>
          <w:rFonts w:hint="eastAsia" w:ascii="仿宋" w:hAnsi="仿宋" w:eastAsia="仿宋" w:cs="仿宋"/>
          <w:bCs/>
          <w:sz w:val="36"/>
          <w:szCs w:val="36"/>
        </w:rPr>
        <w:t>二、收入预算总表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_Toc1148 \h </w:instrText>
      </w:r>
      <w:r>
        <w:rPr>
          <w:rFonts w:hint="eastAsia" w:ascii="仿宋" w:hAnsi="仿宋" w:eastAsia="仿宋" w:cs="仿宋"/>
          <w:sz w:val="36"/>
          <w:szCs w:val="36"/>
        </w:rPr>
        <w:fldChar w:fldCharType="separate"/>
      </w:r>
      <w:r>
        <w:rPr>
          <w:rFonts w:hint="eastAsia" w:ascii="仿宋" w:hAnsi="仿宋" w:eastAsia="仿宋" w:cs="仿宋"/>
          <w:sz w:val="36"/>
          <w:szCs w:val="36"/>
        </w:rPr>
        <w:t>6</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_Toc20560 </w:instrText>
      </w:r>
      <w:r>
        <w:rPr>
          <w:rFonts w:hint="eastAsia" w:ascii="仿宋" w:hAnsi="仿宋" w:eastAsia="仿宋" w:cs="仿宋"/>
          <w:sz w:val="36"/>
          <w:szCs w:val="36"/>
        </w:rPr>
        <w:fldChar w:fldCharType="separate"/>
      </w:r>
      <w:r>
        <w:rPr>
          <w:rFonts w:hint="eastAsia" w:ascii="仿宋" w:hAnsi="仿宋" w:eastAsia="仿宋" w:cs="仿宋"/>
          <w:bCs/>
          <w:sz w:val="36"/>
          <w:szCs w:val="36"/>
        </w:rPr>
        <w:t>三、支出预算总表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_Toc20560 \h </w:instrText>
      </w:r>
      <w:r>
        <w:rPr>
          <w:rFonts w:hint="eastAsia" w:ascii="仿宋" w:hAnsi="仿宋" w:eastAsia="仿宋" w:cs="仿宋"/>
          <w:sz w:val="36"/>
          <w:szCs w:val="36"/>
        </w:rPr>
        <w:fldChar w:fldCharType="separate"/>
      </w:r>
      <w:r>
        <w:rPr>
          <w:rFonts w:hint="eastAsia" w:ascii="仿宋" w:hAnsi="仿宋" w:eastAsia="仿宋" w:cs="仿宋"/>
          <w:sz w:val="36"/>
          <w:szCs w:val="36"/>
        </w:rPr>
        <w:t>7</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_Toc3992 </w:instrText>
      </w:r>
      <w:r>
        <w:rPr>
          <w:rFonts w:hint="eastAsia" w:ascii="仿宋" w:hAnsi="仿宋" w:eastAsia="仿宋" w:cs="仿宋"/>
          <w:sz w:val="36"/>
          <w:szCs w:val="36"/>
        </w:rPr>
        <w:fldChar w:fldCharType="separate"/>
      </w:r>
      <w:r>
        <w:rPr>
          <w:rFonts w:hint="eastAsia" w:ascii="仿宋" w:hAnsi="仿宋" w:eastAsia="仿宋" w:cs="仿宋"/>
          <w:bCs/>
          <w:sz w:val="36"/>
          <w:szCs w:val="36"/>
        </w:rPr>
        <w:t>四、财政拨款收支预算总表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_Toc3992 \h </w:instrText>
      </w:r>
      <w:r>
        <w:rPr>
          <w:rFonts w:hint="eastAsia" w:ascii="仿宋" w:hAnsi="仿宋" w:eastAsia="仿宋" w:cs="仿宋"/>
          <w:sz w:val="36"/>
          <w:szCs w:val="36"/>
        </w:rPr>
        <w:fldChar w:fldCharType="separate"/>
      </w:r>
      <w:r>
        <w:rPr>
          <w:rFonts w:hint="eastAsia" w:ascii="仿宋" w:hAnsi="仿宋" w:eastAsia="仿宋" w:cs="仿宋"/>
          <w:sz w:val="36"/>
          <w:szCs w:val="36"/>
        </w:rPr>
        <w:t>8</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_Toc10342 </w:instrText>
      </w:r>
      <w:r>
        <w:rPr>
          <w:rFonts w:hint="eastAsia" w:ascii="仿宋" w:hAnsi="仿宋" w:eastAsia="仿宋" w:cs="仿宋"/>
          <w:sz w:val="36"/>
          <w:szCs w:val="36"/>
        </w:rPr>
        <w:fldChar w:fldCharType="separate"/>
      </w:r>
      <w:r>
        <w:rPr>
          <w:rFonts w:hint="eastAsia" w:ascii="仿宋" w:hAnsi="仿宋" w:eastAsia="仿宋" w:cs="仿宋"/>
          <w:bCs/>
          <w:sz w:val="36"/>
          <w:szCs w:val="36"/>
        </w:rPr>
        <w:t>五、一般公共预算拨款支出预算表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_Toc10342 \h </w:instrText>
      </w:r>
      <w:r>
        <w:rPr>
          <w:rFonts w:hint="eastAsia" w:ascii="仿宋" w:hAnsi="仿宋" w:eastAsia="仿宋" w:cs="仿宋"/>
          <w:sz w:val="36"/>
          <w:szCs w:val="36"/>
        </w:rPr>
        <w:fldChar w:fldCharType="separate"/>
      </w:r>
      <w:r>
        <w:rPr>
          <w:rFonts w:hint="eastAsia" w:ascii="仿宋" w:hAnsi="仿宋" w:eastAsia="仿宋" w:cs="仿宋"/>
          <w:sz w:val="36"/>
          <w:szCs w:val="36"/>
        </w:rPr>
        <w:t>10</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_Toc23864 </w:instrText>
      </w:r>
      <w:r>
        <w:rPr>
          <w:rFonts w:hint="eastAsia" w:ascii="仿宋" w:hAnsi="仿宋" w:eastAsia="仿宋" w:cs="仿宋"/>
          <w:sz w:val="36"/>
          <w:szCs w:val="36"/>
        </w:rPr>
        <w:fldChar w:fldCharType="separate"/>
      </w:r>
      <w:r>
        <w:rPr>
          <w:rFonts w:hint="eastAsia" w:ascii="仿宋" w:hAnsi="仿宋" w:eastAsia="仿宋" w:cs="仿宋"/>
          <w:bCs/>
          <w:sz w:val="36"/>
          <w:szCs w:val="36"/>
        </w:rPr>
        <w:t>六、政府性基金预算拨款支出预算表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_Toc23864 \h </w:instrText>
      </w:r>
      <w:r>
        <w:rPr>
          <w:rFonts w:hint="eastAsia" w:ascii="仿宋" w:hAnsi="仿宋" w:eastAsia="仿宋" w:cs="仿宋"/>
          <w:sz w:val="36"/>
          <w:szCs w:val="36"/>
        </w:rPr>
        <w:fldChar w:fldCharType="separate"/>
      </w:r>
      <w:r>
        <w:rPr>
          <w:rFonts w:hint="eastAsia" w:ascii="仿宋" w:hAnsi="仿宋" w:eastAsia="仿宋" w:cs="仿宋"/>
          <w:sz w:val="36"/>
          <w:szCs w:val="36"/>
        </w:rPr>
        <w:t>11</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_Toc30592 </w:instrText>
      </w:r>
      <w:r>
        <w:rPr>
          <w:rFonts w:hint="eastAsia" w:ascii="仿宋" w:hAnsi="仿宋" w:eastAsia="仿宋" w:cs="仿宋"/>
          <w:sz w:val="36"/>
          <w:szCs w:val="36"/>
        </w:rPr>
        <w:fldChar w:fldCharType="separate"/>
      </w:r>
      <w:r>
        <w:rPr>
          <w:rFonts w:hint="eastAsia" w:ascii="仿宋" w:hAnsi="仿宋" w:eastAsia="仿宋" w:cs="仿宋"/>
          <w:bCs/>
          <w:sz w:val="36"/>
          <w:szCs w:val="36"/>
        </w:rPr>
        <w:t>七、国有资本经营预算拨款支出预算表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_Toc30592 \h </w:instrText>
      </w:r>
      <w:r>
        <w:rPr>
          <w:rFonts w:hint="eastAsia" w:ascii="仿宋" w:hAnsi="仿宋" w:eastAsia="仿宋" w:cs="仿宋"/>
          <w:sz w:val="36"/>
          <w:szCs w:val="36"/>
        </w:rPr>
        <w:fldChar w:fldCharType="separate"/>
      </w:r>
      <w:r>
        <w:rPr>
          <w:rFonts w:hint="eastAsia" w:ascii="仿宋" w:hAnsi="仿宋" w:eastAsia="仿宋" w:cs="仿宋"/>
          <w:sz w:val="36"/>
          <w:szCs w:val="36"/>
        </w:rPr>
        <w:t>12</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_Toc6938 </w:instrText>
      </w:r>
      <w:r>
        <w:rPr>
          <w:rFonts w:hint="eastAsia" w:ascii="仿宋" w:hAnsi="仿宋" w:eastAsia="仿宋" w:cs="仿宋"/>
          <w:sz w:val="36"/>
          <w:szCs w:val="36"/>
        </w:rPr>
        <w:fldChar w:fldCharType="separate"/>
      </w:r>
      <w:r>
        <w:rPr>
          <w:rFonts w:hint="eastAsia" w:ascii="仿宋" w:hAnsi="仿宋" w:eastAsia="仿宋" w:cs="仿宋"/>
          <w:bCs/>
          <w:sz w:val="36"/>
          <w:szCs w:val="36"/>
          <w:lang w:val="en-US" w:eastAsia="zh-CN"/>
        </w:rPr>
        <w:t>八、一般公共预算支出经济分类情况表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_Toc6938 \h </w:instrText>
      </w:r>
      <w:r>
        <w:rPr>
          <w:rFonts w:hint="eastAsia" w:ascii="仿宋" w:hAnsi="仿宋" w:eastAsia="仿宋" w:cs="仿宋"/>
          <w:sz w:val="36"/>
          <w:szCs w:val="36"/>
        </w:rPr>
        <w:fldChar w:fldCharType="separate"/>
      </w:r>
      <w:r>
        <w:rPr>
          <w:rFonts w:hint="eastAsia" w:ascii="仿宋" w:hAnsi="仿宋" w:eastAsia="仿宋" w:cs="仿宋"/>
          <w:sz w:val="36"/>
          <w:szCs w:val="36"/>
        </w:rPr>
        <w:t>13</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_Toc17128 </w:instrText>
      </w:r>
      <w:r>
        <w:rPr>
          <w:rFonts w:hint="eastAsia" w:ascii="仿宋" w:hAnsi="仿宋" w:eastAsia="仿宋" w:cs="仿宋"/>
          <w:sz w:val="36"/>
          <w:szCs w:val="36"/>
        </w:rPr>
        <w:fldChar w:fldCharType="separate"/>
      </w:r>
      <w:r>
        <w:rPr>
          <w:rFonts w:hint="eastAsia" w:ascii="仿宋" w:hAnsi="仿宋" w:eastAsia="仿宋" w:cs="仿宋"/>
          <w:bCs/>
          <w:sz w:val="36"/>
          <w:szCs w:val="36"/>
        </w:rPr>
        <w:t>九、一般公共预算基本支出经济分类情况表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_Toc17128 \h </w:instrText>
      </w:r>
      <w:r>
        <w:rPr>
          <w:rFonts w:hint="eastAsia" w:ascii="仿宋" w:hAnsi="仿宋" w:eastAsia="仿宋" w:cs="仿宋"/>
          <w:sz w:val="36"/>
          <w:szCs w:val="36"/>
        </w:rPr>
        <w:fldChar w:fldCharType="separate"/>
      </w:r>
      <w:r>
        <w:rPr>
          <w:rFonts w:hint="eastAsia" w:ascii="仿宋" w:hAnsi="仿宋" w:eastAsia="仿宋" w:cs="仿宋"/>
          <w:sz w:val="36"/>
          <w:szCs w:val="36"/>
        </w:rPr>
        <w:t>14</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_Toc5597 </w:instrText>
      </w:r>
      <w:r>
        <w:rPr>
          <w:rFonts w:hint="eastAsia" w:ascii="仿宋" w:hAnsi="仿宋" w:eastAsia="仿宋" w:cs="仿宋"/>
          <w:sz w:val="36"/>
          <w:szCs w:val="36"/>
        </w:rPr>
        <w:fldChar w:fldCharType="separate"/>
      </w:r>
      <w:r>
        <w:rPr>
          <w:rFonts w:hint="eastAsia" w:ascii="仿宋" w:hAnsi="仿宋" w:eastAsia="仿宋" w:cs="仿宋"/>
          <w:bCs/>
          <w:sz w:val="36"/>
          <w:szCs w:val="36"/>
        </w:rPr>
        <w:t>十、一般公共预算“三公”经费支出预算表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_Toc5597 \h </w:instrText>
      </w:r>
      <w:r>
        <w:rPr>
          <w:rFonts w:hint="eastAsia" w:ascii="仿宋" w:hAnsi="仿宋" w:eastAsia="仿宋" w:cs="仿宋"/>
          <w:sz w:val="36"/>
          <w:szCs w:val="36"/>
        </w:rPr>
        <w:fldChar w:fldCharType="separate"/>
      </w:r>
      <w:r>
        <w:rPr>
          <w:rFonts w:hint="eastAsia" w:ascii="仿宋" w:hAnsi="仿宋" w:eastAsia="仿宋" w:cs="仿宋"/>
          <w:sz w:val="36"/>
          <w:szCs w:val="36"/>
        </w:rPr>
        <w:t>15</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_Toc30545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第三部分</w:t>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_Toc22448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eastAsia="zh-CN"/>
        </w:rPr>
        <w:t>2025</w:t>
      </w:r>
      <w:r>
        <w:rPr>
          <w:rFonts w:hint="eastAsia" w:ascii="仿宋" w:hAnsi="仿宋" w:eastAsia="仿宋" w:cs="仿宋"/>
          <w:b/>
          <w:bCs/>
          <w:sz w:val="36"/>
          <w:szCs w:val="36"/>
        </w:rPr>
        <w:t>年度</w:t>
      </w:r>
      <w:r>
        <w:rPr>
          <w:rFonts w:hint="eastAsia" w:ascii="仿宋" w:hAnsi="仿宋" w:eastAsia="仿宋" w:cs="仿宋"/>
          <w:b/>
          <w:bCs/>
          <w:sz w:val="36"/>
          <w:szCs w:val="36"/>
          <w:lang w:val="en-US" w:eastAsia="zh-CN"/>
        </w:rPr>
        <w:t>单位</w:t>
      </w:r>
      <w:r>
        <w:rPr>
          <w:rFonts w:hint="eastAsia" w:ascii="仿宋" w:hAnsi="仿宋" w:eastAsia="仿宋" w:cs="仿宋"/>
          <w:b/>
          <w:bCs/>
          <w:sz w:val="36"/>
          <w:szCs w:val="36"/>
        </w:rPr>
        <w:t>预算情况说明</w:t>
      </w:r>
      <w: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_Toc22448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16</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_Toc11599 </w:instrText>
      </w:r>
      <w:r>
        <w:rPr>
          <w:rFonts w:hint="eastAsia" w:ascii="仿宋" w:hAnsi="仿宋" w:eastAsia="仿宋" w:cs="仿宋"/>
          <w:sz w:val="36"/>
          <w:szCs w:val="36"/>
        </w:rPr>
        <w:fldChar w:fldCharType="separate"/>
      </w:r>
      <w:r>
        <w:rPr>
          <w:rFonts w:hint="eastAsia" w:ascii="仿宋" w:hAnsi="仿宋" w:eastAsia="仿宋" w:cs="仿宋"/>
          <w:bCs/>
          <w:kern w:val="44"/>
          <w:sz w:val="36"/>
          <w:szCs w:val="36"/>
          <w:lang w:val="en-US" w:eastAsia="zh-CN" w:bidi="ar-SA"/>
        </w:rPr>
        <w:t>一、预算收支总体情况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_Toc11599 \h </w:instrText>
      </w:r>
      <w:r>
        <w:rPr>
          <w:rFonts w:hint="eastAsia" w:ascii="仿宋" w:hAnsi="仿宋" w:eastAsia="仿宋" w:cs="仿宋"/>
          <w:sz w:val="36"/>
          <w:szCs w:val="36"/>
        </w:rPr>
        <w:fldChar w:fldCharType="separate"/>
      </w:r>
      <w:r>
        <w:rPr>
          <w:rFonts w:hint="eastAsia" w:ascii="仿宋" w:hAnsi="仿宋" w:eastAsia="仿宋" w:cs="仿宋"/>
          <w:sz w:val="36"/>
          <w:szCs w:val="36"/>
        </w:rPr>
        <w:t>17</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_Toc31090 </w:instrText>
      </w:r>
      <w:r>
        <w:rPr>
          <w:rFonts w:hint="eastAsia" w:ascii="仿宋" w:hAnsi="仿宋" w:eastAsia="仿宋" w:cs="仿宋"/>
          <w:sz w:val="36"/>
          <w:szCs w:val="36"/>
        </w:rPr>
        <w:fldChar w:fldCharType="separate"/>
      </w:r>
      <w:r>
        <w:rPr>
          <w:rFonts w:hint="eastAsia" w:ascii="仿宋" w:hAnsi="仿宋" w:eastAsia="仿宋" w:cs="仿宋"/>
          <w:bCs/>
          <w:sz w:val="36"/>
          <w:szCs w:val="36"/>
          <w:lang w:val="en-US" w:eastAsia="zh-CN"/>
        </w:rPr>
        <w:t>二、一般公共预算拨款支出情况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_Toc31090 \h </w:instrText>
      </w:r>
      <w:r>
        <w:rPr>
          <w:rFonts w:hint="eastAsia" w:ascii="仿宋" w:hAnsi="仿宋" w:eastAsia="仿宋" w:cs="仿宋"/>
          <w:sz w:val="36"/>
          <w:szCs w:val="36"/>
        </w:rPr>
        <w:fldChar w:fldCharType="separate"/>
      </w:r>
      <w:r>
        <w:rPr>
          <w:rFonts w:hint="eastAsia" w:ascii="仿宋" w:hAnsi="仿宋" w:eastAsia="仿宋" w:cs="仿宋"/>
          <w:sz w:val="36"/>
          <w:szCs w:val="36"/>
        </w:rPr>
        <w:t>17</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_Toc23160 </w:instrText>
      </w:r>
      <w:r>
        <w:rPr>
          <w:rFonts w:hint="eastAsia" w:ascii="仿宋" w:hAnsi="仿宋" w:eastAsia="仿宋" w:cs="仿宋"/>
          <w:sz w:val="36"/>
          <w:szCs w:val="36"/>
        </w:rPr>
        <w:fldChar w:fldCharType="separate"/>
      </w:r>
      <w:r>
        <w:rPr>
          <w:rFonts w:hint="eastAsia" w:ascii="仿宋" w:hAnsi="仿宋" w:eastAsia="仿宋" w:cs="仿宋"/>
          <w:b w:val="0"/>
          <w:bCs/>
          <w:kern w:val="44"/>
          <w:sz w:val="36"/>
          <w:szCs w:val="36"/>
          <w:lang w:val="en-US" w:eastAsia="zh-CN" w:bidi="ar-SA"/>
        </w:rPr>
        <w:t>三、政府性基金预算拨款支出情况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_Toc23160 \h </w:instrText>
      </w:r>
      <w:r>
        <w:rPr>
          <w:rFonts w:hint="eastAsia" w:ascii="仿宋" w:hAnsi="仿宋" w:eastAsia="仿宋" w:cs="仿宋"/>
          <w:sz w:val="36"/>
          <w:szCs w:val="36"/>
        </w:rPr>
        <w:fldChar w:fldCharType="separate"/>
      </w:r>
      <w:r>
        <w:rPr>
          <w:rFonts w:hint="eastAsia" w:ascii="仿宋" w:hAnsi="仿宋" w:eastAsia="仿宋" w:cs="仿宋"/>
          <w:sz w:val="36"/>
          <w:szCs w:val="36"/>
        </w:rPr>
        <w:t>17</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_Toc8648 </w:instrText>
      </w:r>
      <w:r>
        <w:rPr>
          <w:rFonts w:hint="eastAsia" w:ascii="仿宋" w:hAnsi="仿宋" w:eastAsia="仿宋" w:cs="仿宋"/>
          <w:sz w:val="36"/>
          <w:szCs w:val="36"/>
        </w:rPr>
        <w:fldChar w:fldCharType="separate"/>
      </w:r>
      <w:r>
        <w:rPr>
          <w:rFonts w:hint="eastAsia" w:ascii="仿宋" w:hAnsi="仿宋" w:eastAsia="仿宋" w:cs="仿宋"/>
          <w:bCs/>
          <w:kern w:val="44"/>
          <w:sz w:val="36"/>
          <w:szCs w:val="36"/>
          <w:lang w:val="en-US" w:eastAsia="zh-CN" w:bidi="ar-SA"/>
        </w:rPr>
        <w:t>四、国有资本经营预算拨款支出情况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_Toc8648 \h </w:instrText>
      </w:r>
      <w:r>
        <w:rPr>
          <w:rFonts w:hint="eastAsia" w:ascii="仿宋" w:hAnsi="仿宋" w:eastAsia="仿宋" w:cs="仿宋"/>
          <w:sz w:val="36"/>
          <w:szCs w:val="36"/>
        </w:rPr>
        <w:fldChar w:fldCharType="separate"/>
      </w:r>
      <w:r>
        <w:rPr>
          <w:rFonts w:hint="eastAsia" w:ascii="仿宋" w:hAnsi="仿宋" w:eastAsia="仿宋" w:cs="仿宋"/>
          <w:sz w:val="36"/>
          <w:szCs w:val="36"/>
        </w:rPr>
        <w:t>18</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_Toc7326 </w:instrText>
      </w:r>
      <w:r>
        <w:rPr>
          <w:rFonts w:hint="eastAsia" w:ascii="仿宋" w:hAnsi="仿宋" w:eastAsia="仿宋" w:cs="仿宋"/>
          <w:sz w:val="36"/>
          <w:szCs w:val="36"/>
        </w:rPr>
        <w:fldChar w:fldCharType="separate"/>
      </w:r>
      <w:r>
        <w:rPr>
          <w:rFonts w:hint="eastAsia" w:ascii="仿宋" w:hAnsi="仿宋" w:eastAsia="仿宋" w:cs="仿宋"/>
          <w:bCs/>
          <w:sz w:val="36"/>
          <w:szCs w:val="36"/>
        </w:rPr>
        <w:t>五、一般公共预算基本支出情况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_Toc7326 \h </w:instrText>
      </w:r>
      <w:r>
        <w:rPr>
          <w:rFonts w:hint="eastAsia" w:ascii="仿宋" w:hAnsi="仿宋" w:eastAsia="仿宋" w:cs="仿宋"/>
          <w:sz w:val="36"/>
          <w:szCs w:val="36"/>
        </w:rPr>
        <w:fldChar w:fldCharType="separate"/>
      </w:r>
      <w:r>
        <w:rPr>
          <w:rFonts w:hint="eastAsia" w:ascii="仿宋" w:hAnsi="仿宋" w:eastAsia="仿宋" w:cs="仿宋"/>
          <w:sz w:val="36"/>
          <w:szCs w:val="36"/>
        </w:rPr>
        <w:t>18</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_Toc18937 </w:instrText>
      </w:r>
      <w:r>
        <w:rPr>
          <w:rFonts w:hint="eastAsia" w:ascii="仿宋" w:hAnsi="仿宋" w:eastAsia="仿宋" w:cs="仿宋"/>
          <w:sz w:val="36"/>
          <w:szCs w:val="36"/>
        </w:rPr>
        <w:fldChar w:fldCharType="separate"/>
      </w:r>
      <w:r>
        <w:rPr>
          <w:rFonts w:hint="eastAsia" w:ascii="仿宋" w:hAnsi="仿宋" w:eastAsia="仿宋" w:cs="仿宋"/>
          <w:bCs/>
          <w:sz w:val="36"/>
          <w:szCs w:val="36"/>
        </w:rPr>
        <w:t>六、一般公共预算“三公”经费支出情况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_Toc18937 \h </w:instrText>
      </w:r>
      <w:r>
        <w:rPr>
          <w:rFonts w:hint="eastAsia" w:ascii="仿宋" w:hAnsi="仿宋" w:eastAsia="仿宋" w:cs="仿宋"/>
          <w:sz w:val="36"/>
          <w:szCs w:val="36"/>
        </w:rPr>
        <w:fldChar w:fldCharType="separate"/>
      </w:r>
      <w:r>
        <w:rPr>
          <w:rFonts w:hint="eastAsia" w:ascii="仿宋" w:hAnsi="仿宋" w:eastAsia="仿宋" w:cs="仿宋"/>
          <w:sz w:val="36"/>
          <w:szCs w:val="36"/>
        </w:rPr>
        <w:t>19</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_Toc30658 </w:instrText>
      </w:r>
      <w:r>
        <w:rPr>
          <w:rFonts w:hint="eastAsia" w:ascii="仿宋" w:hAnsi="仿宋" w:eastAsia="仿宋" w:cs="仿宋"/>
          <w:sz w:val="36"/>
          <w:szCs w:val="36"/>
        </w:rPr>
        <w:fldChar w:fldCharType="separate"/>
      </w:r>
      <w:r>
        <w:rPr>
          <w:rFonts w:hint="eastAsia" w:ascii="仿宋" w:hAnsi="仿宋" w:eastAsia="仿宋" w:cs="仿宋"/>
          <w:bCs/>
          <w:sz w:val="36"/>
          <w:szCs w:val="36"/>
        </w:rPr>
        <w:t>七、预算绩效目标情况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_Toc30658 \h </w:instrText>
      </w:r>
      <w:r>
        <w:rPr>
          <w:rFonts w:hint="eastAsia" w:ascii="仿宋" w:hAnsi="仿宋" w:eastAsia="仿宋" w:cs="仿宋"/>
          <w:sz w:val="36"/>
          <w:szCs w:val="36"/>
        </w:rPr>
        <w:fldChar w:fldCharType="separate"/>
      </w:r>
      <w:r>
        <w:rPr>
          <w:rFonts w:hint="eastAsia" w:ascii="仿宋" w:hAnsi="仿宋" w:eastAsia="仿宋" w:cs="仿宋"/>
          <w:sz w:val="36"/>
          <w:szCs w:val="36"/>
        </w:rPr>
        <w:t>21</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_Toc24204 </w:instrText>
      </w:r>
      <w:r>
        <w:rPr>
          <w:rFonts w:hint="eastAsia" w:ascii="仿宋" w:hAnsi="仿宋" w:eastAsia="仿宋" w:cs="仿宋"/>
          <w:sz w:val="36"/>
          <w:szCs w:val="36"/>
        </w:rPr>
        <w:fldChar w:fldCharType="separate"/>
      </w:r>
      <w:r>
        <w:rPr>
          <w:rFonts w:hint="eastAsia" w:ascii="仿宋" w:hAnsi="仿宋" w:eastAsia="仿宋" w:cs="仿宋"/>
          <w:bCs/>
          <w:sz w:val="36"/>
          <w:szCs w:val="36"/>
        </w:rPr>
        <w:t>八、其他重要事项说明</w:t>
      </w:r>
      <w:r>
        <w:tab/>
      </w:r>
      <w:r>
        <w:rPr>
          <w:rFonts w:hint="eastAsia" w:ascii="仿宋" w:hAnsi="仿宋" w:eastAsia="仿宋" w:cs="仿宋"/>
          <w:sz w:val="36"/>
          <w:szCs w:val="36"/>
        </w:rPr>
        <w:t>27</w:t>
      </w:r>
      <w:r>
        <w:rPr>
          <w:rFonts w:hint="eastAsia" w:ascii="仿宋" w:hAnsi="仿宋" w:eastAsia="仿宋" w:cs="仿宋"/>
          <w:sz w:val="36"/>
          <w:szCs w:val="36"/>
        </w:rPr>
        <w:fldChar w:fldCharType="end"/>
      </w:r>
    </w:p>
    <w:p>
      <w:pPr>
        <w:pStyle w:val="7"/>
        <w:tabs>
          <w:tab w:val="right" w:leader="dot" w:pos="8306"/>
        </w:tabs>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_Toc25773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第四部分</w:t>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_Toc16895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名词解释</w:t>
      </w:r>
      <w:r>
        <w:tab/>
      </w:r>
      <w:r>
        <w:rPr>
          <w:rFonts w:hint="eastAsia" w:ascii="仿宋" w:hAnsi="仿宋" w:eastAsia="仿宋" w:cs="仿宋"/>
          <w:b/>
          <w:bCs/>
          <w:sz w:val="36"/>
          <w:szCs w:val="36"/>
        </w:rPr>
        <w:t>28</w:t>
      </w:r>
      <w:r>
        <w:rPr>
          <w:rFonts w:hint="eastAsia" w:ascii="仿宋" w:hAnsi="仿宋" w:eastAsia="仿宋" w:cs="仿宋"/>
          <w:b/>
          <w:bCs/>
          <w:sz w:val="36"/>
          <w:szCs w:val="36"/>
        </w:rPr>
        <w:fldChar w:fldCharType="end"/>
      </w:r>
    </w:p>
    <w:p>
      <w:pPr>
        <w:pStyle w:val="27"/>
        <w:rPr>
          <w:rFonts w:ascii="宋体" w:hAnsi="宋体" w:eastAsia="宋体" w:cs="宋体"/>
          <w:kern w:val="0"/>
          <w:sz w:val="36"/>
          <w:szCs w:val="36"/>
        </w:rPr>
      </w:pPr>
      <w:r>
        <w:rPr>
          <w:rFonts w:hint="eastAsia" w:ascii="仿宋" w:hAnsi="仿宋" w:eastAsia="仿宋" w:cs="仿宋"/>
          <w:sz w:val="36"/>
          <w:szCs w:val="36"/>
        </w:rPr>
        <w:fldChar w:fldCharType="end"/>
      </w:r>
    </w:p>
    <w:p>
      <w:pPr>
        <w:pStyle w:val="7"/>
        <w:sectPr>
          <w:footerReference r:id="rId5" w:type="default"/>
          <w:pgSz w:w="11906" w:h="16838"/>
          <w:pgMar w:top="1440" w:right="1800" w:bottom="1440" w:left="1800" w:header="851" w:footer="992" w:gutter="0"/>
          <w:pgNumType w:fmt="decimal" w:start="1"/>
          <w:cols w:space="720" w:num="1"/>
          <w:docGrid w:type="lines" w:linePitch="312" w:charSpace="0"/>
        </w:sectPr>
      </w:pPr>
    </w:p>
    <w:p>
      <w:pPr>
        <w:autoSpaceDE w:val="0"/>
        <w:autoSpaceDN w:val="0"/>
        <w:jc w:val="left"/>
        <w:rPr>
          <w:rFonts w:hint="eastAsia" w:asciiTheme="minorEastAsia" w:hAnsiTheme="minorEastAsia" w:eastAsiaTheme="minorEastAsia" w:cstheme="minorEastAsia"/>
          <w:bCs/>
          <w:sz w:val="21"/>
          <w:szCs w:val="21"/>
          <w:lang w:val="en-US" w:eastAsia="zh-CN"/>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both"/>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left"/>
        <w:rPr>
          <w:rFonts w:ascii="黑体" w:hAnsi="黑体" w:eastAsia="黑体" w:cs="Times New Roman"/>
          <w:kern w:val="0"/>
          <w:sz w:val="36"/>
          <w:szCs w:val="36"/>
        </w:rPr>
      </w:pPr>
    </w:p>
    <w:p>
      <w:pPr>
        <w:pStyle w:val="3"/>
        <w:keepNext w:val="0"/>
        <w:keepLines w:val="0"/>
        <w:pageBreakBefore w:val="0"/>
        <w:widowControl w:val="0"/>
        <w:kinsoku/>
        <w:wordWrap/>
        <w:overflowPunct/>
        <w:topLinePunct w:val="0"/>
        <w:autoSpaceDE/>
        <w:autoSpaceDN/>
        <w:bidi w:val="0"/>
        <w:adjustRightInd/>
        <w:snapToGrid/>
        <w:spacing w:after="320" w:line="360" w:lineRule="auto"/>
        <w:jc w:val="left"/>
        <w:textAlignment w:val="auto"/>
        <w:rPr>
          <w:rStyle w:val="12"/>
          <w:rFonts w:hint="eastAsia" w:ascii="黑体" w:hAnsi="黑体" w:eastAsia="黑体" w:cs="黑体"/>
          <w:b w:val="0"/>
          <w:bCs/>
          <w:kern w:val="44"/>
          <w:sz w:val="56"/>
          <w:szCs w:val="56"/>
          <w:lang w:val="en-US" w:eastAsia="zh-CN"/>
        </w:rPr>
      </w:pPr>
      <w:bookmarkStart w:id="0" w:name="_Toc25532"/>
      <w:r>
        <w:rPr>
          <w:rStyle w:val="12"/>
          <w:rFonts w:hint="eastAsia"/>
          <w:b w:val="0"/>
          <w:bCs/>
          <w:kern w:val="44"/>
          <w:sz w:val="56"/>
          <w:szCs w:val="56"/>
        </w:rPr>
        <w:t>第一部分</w:t>
      </w:r>
    </w:p>
    <w:p>
      <w:pPr>
        <w:pStyle w:val="2"/>
        <w:pageBreakBefore w:val="0"/>
        <w:widowControl w:val="0"/>
        <w:kinsoku/>
        <w:wordWrap/>
        <w:overflowPunct/>
        <w:topLinePunct w:val="0"/>
        <w:autoSpaceDE/>
        <w:autoSpaceDN/>
        <w:bidi w:val="0"/>
        <w:adjustRightInd/>
        <w:snapToGrid/>
        <w:spacing w:after="320" w:line="360" w:lineRule="auto"/>
        <w:jc w:val="center"/>
        <w:textAlignment w:val="auto"/>
        <w:rPr>
          <w:rFonts w:hint="eastAsia" w:ascii="黑体" w:hAnsi="黑体" w:eastAsia="黑体" w:cs="黑体"/>
          <w:b w:val="0"/>
          <w:bCs/>
          <w:sz w:val="56"/>
          <w:szCs w:val="56"/>
        </w:rPr>
      </w:pPr>
      <w:bookmarkStart w:id="1" w:name="_Toc7828"/>
      <w:r>
        <w:rPr>
          <w:rFonts w:hint="eastAsia" w:ascii="黑体" w:hAnsi="黑体" w:eastAsia="黑体" w:cs="黑体"/>
          <w:b w:val="0"/>
          <w:bCs/>
          <w:kern w:val="44"/>
          <w:sz w:val="56"/>
          <w:szCs w:val="56"/>
          <w:lang w:val="en-US" w:eastAsia="zh-CN"/>
        </w:rPr>
        <w:t>单位</w:t>
      </w:r>
      <w:r>
        <w:rPr>
          <w:rFonts w:hint="eastAsia" w:ascii="黑体" w:hAnsi="黑体" w:eastAsia="黑体" w:cs="黑体"/>
          <w:b w:val="0"/>
          <w:bCs/>
          <w:kern w:val="44"/>
          <w:sz w:val="56"/>
          <w:szCs w:val="56"/>
        </w:rPr>
        <w:t>概况</w:t>
      </w:r>
      <w:bookmarkEnd w:id="1"/>
    </w:p>
    <w:p>
      <w:pPr>
        <w:widowControl/>
        <w:jc w:val="left"/>
        <w:rPr>
          <w:rFonts w:ascii="黑体" w:hAnsi="黑体" w:eastAsia="黑体" w:cs="Times New Roman"/>
          <w:kern w:val="0"/>
          <w:sz w:val="36"/>
          <w:szCs w:val="36"/>
        </w:rPr>
      </w:pPr>
    </w:p>
    <w:p>
      <w:pPr>
        <w:widowControl/>
        <w:jc w:val="left"/>
        <w:rPr>
          <w:rFonts w:ascii="黑体" w:hAnsi="黑体" w:eastAsia="黑体" w:cs="Times New Roman"/>
          <w:kern w:val="0"/>
          <w:sz w:val="36"/>
          <w:szCs w:val="36"/>
        </w:rPr>
        <w:sectPr>
          <w:footerReference r:id="rId6" w:type="default"/>
          <w:pgSz w:w="11906" w:h="16838"/>
          <w:pgMar w:top="1440" w:right="1800" w:bottom="1440" w:left="1800" w:header="851" w:footer="992" w:gutter="0"/>
          <w:pgNumType w:fmt="decimal" w:start="1"/>
          <w:cols w:space="720" w:num="1"/>
          <w:docGrid w:type="lines" w:linePitch="312" w:charSpace="0"/>
        </w:sectPr>
      </w:pPr>
    </w:p>
    <w:p>
      <w:pPr>
        <w:pStyle w:val="2"/>
        <w:spacing w:before="0" w:after="0"/>
        <w:rPr>
          <w:rFonts w:hint="eastAsia" w:ascii="黑体" w:hAnsi="黑体" w:eastAsia="黑体" w:cs="黑体"/>
          <w:b w:val="0"/>
          <w:bCs/>
          <w:lang w:val="en-US" w:eastAsia="zh-CN"/>
        </w:rPr>
      </w:pPr>
      <w:bookmarkStart w:id="2" w:name="_Toc8772"/>
      <w:r>
        <w:rPr>
          <w:rFonts w:hint="eastAsia"/>
          <w:b w:val="0"/>
          <w:bCs/>
          <w:lang w:val="en-US" w:eastAsia="zh-CN"/>
        </w:rPr>
        <w:t>一、单位主要职责</w:t>
      </w:r>
      <w:bookmarkEnd w:id="2"/>
    </w:p>
    <w:p>
      <w:pPr>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莆田市荔城区西天尾工业园服务中心</w:t>
      </w:r>
      <w:r>
        <w:rPr>
          <w:rFonts w:ascii="仿宋" w:hAnsi="仿宋" w:eastAsia="仿宋"/>
          <w:sz w:val="32"/>
          <w:u w:val="none" w:color="auto"/>
        </w:rPr>
        <w:t>的主要职责是：</w:t>
      </w:r>
      <w:r>
        <w:rPr>
          <w:rFonts w:hint="eastAsia" w:ascii="仿宋" w:hAnsi="仿宋" w:eastAsia="仿宋" w:cs="仿宋_GB2312"/>
          <w:sz w:val="32"/>
          <w:szCs w:val="32"/>
          <w:lang w:val="en-US" w:eastAsia="zh-CN"/>
        </w:rPr>
        <w:t>推进项目投产，完成固投任务，完善基础设施配套工程，提升项目服务水平等。</w:t>
      </w:r>
    </w:p>
    <w:p>
      <w:pPr>
        <w:spacing w:line="600" w:lineRule="exact"/>
        <w:ind w:firstLine="640" w:firstLineChars="200"/>
        <w:rPr>
          <w:rFonts w:hint="default" w:ascii="仿宋" w:hAnsi="仿宋" w:eastAsia="仿宋" w:cs="仿宋_GB2312"/>
          <w:sz w:val="32"/>
          <w:szCs w:val="32"/>
          <w:lang w:val="en-US" w:eastAsia="zh-CN"/>
        </w:rPr>
      </w:pPr>
    </w:p>
    <w:p>
      <w:pPr>
        <w:pStyle w:val="2"/>
        <w:spacing w:before="0" w:after="0"/>
        <w:rPr>
          <w:rFonts w:hint="eastAsia" w:ascii="黑体" w:hAnsi="黑体" w:eastAsia="黑体" w:cs="黑体"/>
          <w:b w:val="0"/>
          <w:bCs/>
          <w:lang w:val="en-US" w:eastAsia="zh-CN"/>
        </w:rPr>
      </w:pPr>
      <w:bookmarkStart w:id="3" w:name="_Toc13175"/>
      <w:r>
        <w:rPr>
          <w:rFonts w:hint="eastAsia"/>
          <w:b w:val="0"/>
          <w:bCs/>
          <w:lang w:val="en-US" w:eastAsia="zh-CN"/>
        </w:rPr>
        <w:t>二、单位预算单位构成</w:t>
      </w:r>
      <w:bookmarkEnd w:id="3"/>
    </w:p>
    <w:p>
      <w:pPr>
        <w:tabs>
          <w:tab w:val="left" w:pos="7513"/>
        </w:tabs>
        <w:adjustRightInd w:val="0"/>
        <w:snapToGrid w:val="0"/>
        <w:spacing w:line="600" w:lineRule="exact"/>
        <w:ind w:firstLine="640" w:firstLineChars="200"/>
        <w:rPr>
          <w:rFonts w:ascii="仿宋" w:hAnsi="仿宋" w:eastAsia="仿宋" w:cs="仿宋"/>
          <w:sz w:val="32"/>
        </w:rPr>
      </w:pPr>
      <w:r>
        <w:rPr>
          <w:rFonts w:ascii="仿宋" w:hAnsi="仿宋" w:eastAsia="仿宋" w:cs="仿宋"/>
          <w:sz w:val="32"/>
        </w:rPr>
        <w:t>从预算单位构成看，</w:t>
      </w:r>
      <w:r>
        <w:rPr>
          <w:rFonts w:hint="eastAsia" w:ascii="仿宋" w:hAnsi="仿宋" w:eastAsia="仿宋" w:cs="仿宋_GB2312"/>
          <w:sz w:val="32"/>
          <w:szCs w:val="32"/>
          <w:lang w:val="en-US" w:eastAsia="zh-CN"/>
        </w:rPr>
        <w:t>莆田市荔城区西天尾工业园服务中心</w:t>
      </w:r>
      <w:r>
        <w:rPr>
          <w:rFonts w:hint="eastAsia" w:ascii="仿宋" w:hAnsi="仿宋" w:eastAsia="仿宋"/>
          <w:sz w:val="32"/>
          <w:szCs w:val="32"/>
          <w:highlight w:val="none"/>
        </w:rPr>
        <w:t>单位</w:t>
      </w:r>
      <w:r>
        <w:rPr>
          <w:rFonts w:hint="eastAsia" w:ascii="仿宋" w:hAnsi="仿宋" w:eastAsia="仿宋"/>
          <w:sz w:val="32"/>
          <w:szCs w:val="32"/>
        </w:rPr>
        <w:t>包括</w:t>
      </w:r>
      <w:r>
        <w:rPr>
          <w:rFonts w:hint="eastAsia" w:ascii="仿宋" w:hAnsi="仿宋" w:eastAsia="仿宋" w:cs="仿宋_GB2312"/>
          <w:sz w:val="32"/>
          <w:szCs w:val="32"/>
          <w:lang w:val="en-US" w:eastAsia="zh-CN"/>
        </w:rPr>
        <w:t>5</w:t>
      </w:r>
      <w:r>
        <w:rPr>
          <w:rFonts w:hint="eastAsia" w:ascii="仿宋" w:hAnsi="仿宋" w:eastAsia="仿宋"/>
          <w:sz w:val="32"/>
          <w:szCs w:val="32"/>
        </w:rPr>
        <w:t>个机关行政处（科、股）室</w:t>
      </w:r>
      <w:r>
        <w:rPr>
          <w:rFonts w:hint="eastAsia" w:ascii="仿宋" w:hAnsi="仿宋" w:eastAsia="仿宋"/>
          <w:sz w:val="32"/>
          <w:szCs w:val="32"/>
          <w:highlight w:val="none"/>
        </w:rPr>
        <w:t>，</w:t>
      </w:r>
      <w:r>
        <w:rPr>
          <w:rFonts w:ascii="仿宋" w:hAnsi="仿宋" w:eastAsia="仿宋" w:cs="仿宋"/>
          <w:sz w:val="32"/>
        </w:rPr>
        <w:t>其中：列入</w:t>
      </w:r>
      <w:r>
        <w:rPr>
          <w:rFonts w:hint="eastAsia" w:ascii="仿宋" w:hAnsi="仿宋" w:eastAsia="仿宋" w:cs="仿宋"/>
          <w:sz w:val="32"/>
          <w:lang w:eastAsia="zh-CN"/>
        </w:rPr>
        <w:t>2025</w:t>
      </w:r>
      <w:r>
        <w:rPr>
          <w:rFonts w:ascii="仿宋" w:hAnsi="仿宋" w:eastAsia="仿宋" w:cs="仿宋"/>
          <w:sz w:val="32"/>
        </w:rPr>
        <w:t>年</w:t>
      </w:r>
      <w:r>
        <w:rPr>
          <w:rFonts w:hint="eastAsia" w:ascii="仿宋" w:hAnsi="仿宋" w:eastAsia="仿宋"/>
          <w:sz w:val="32"/>
          <w:szCs w:val="32"/>
          <w:highlight w:val="none"/>
        </w:rPr>
        <w:t>单位</w:t>
      </w:r>
      <w:r>
        <w:rPr>
          <w:rFonts w:ascii="仿宋" w:hAnsi="仿宋" w:eastAsia="仿宋" w:cs="仿宋"/>
          <w:sz w:val="32"/>
        </w:rPr>
        <w:t>预算编制范围的单位详细情况见下表:</w:t>
      </w:r>
    </w:p>
    <w:tbl>
      <w:tblPr>
        <w:tblStyle w:val="9"/>
        <w:tblW w:w="8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114" w:type="dxa"/>
            <w:vAlign w:val="center"/>
          </w:tcPr>
          <w:p>
            <w:pPr>
              <w:bidi w:val="0"/>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4387" w:type="dxa"/>
            <w:vAlign w:val="center"/>
          </w:tcPr>
          <w:p>
            <w:pPr>
              <w:bidi w:val="0"/>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114" w:type="dxa"/>
            <w:shd w:val="clear" w:color="auto" w:fill="auto"/>
            <w:vAlign w:val="center"/>
          </w:tcPr>
          <w:p>
            <w:pPr>
              <w:jc w:val="center"/>
            </w:pPr>
            <w:r>
              <w:rPr>
                <w:rFonts w:ascii="仿宋" w:hAnsi="仿宋" w:eastAsia="仿宋" w:cs="仿宋"/>
                <w:sz w:val="32"/>
              </w:rPr>
              <w:t>1</w:t>
            </w:r>
          </w:p>
        </w:tc>
        <w:tc>
          <w:tcPr>
            <w:tcW w:w="4387" w:type="dxa"/>
            <w:shd w:val="clear" w:color="auto" w:fill="auto"/>
            <w:vAlign w:val="center"/>
          </w:tcPr>
          <w:p>
            <w:pPr>
              <w:bidi w:val="0"/>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莆田市荔城区西天尾工业园服务中心</w:t>
            </w:r>
          </w:p>
        </w:tc>
      </w:tr>
    </w:tbl>
    <w:p>
      <w:pPr>
        <w:bidi w:val="0"/>
        <w:rPr>
          <w:rFonts w:hint="eastAsia"/>
          <w:lang w:val="en-US" w:eastAsia="zh-CN"/>
        </w:rPr>
      </w:pPr>
    </w:p>
    <w:p>
      <w:pPr>
        <w:pStyle w:val="2"/>
        <w:spacing w:before="0" w:after="0"/>
        <w:rPr>
          <w:rFonts w:hint="eastAsia"/>
          <w:b w:val="0"/>
          <w:bCs/>
          <w:lang w:val="en-US" w:eastAsia="zh-CN"/>
        </w:rPr>
      </w:pPr>
      <w:bookmarkStart w:id="4" w:name="_Toc16452"/>
      <w:r>
        <w:rPr>
          <w:rFonts w:hint="eastAsia"/>
          <w:b w:val="0"/>
          <w:bCs/>
          <w:lang w:val="en-US" w:eastAsia="zh-CN"/>
        </w:rPr>
        <w:t>三、单位主要工作任务</w:t>
      </w:r>
      <w:bookmarkEnd w:id="4"/>
    </w:p>
    <w:p>
      <w:pPr>
        <w:spacing w:line="600" w:lineRule="exact"/>
        <w:ind w:firstLine="960" w:firstLineChars="300"/>
        <w:rPr>
          <w:rFonts w:hint="eastAsia" w:ascii="仿宋" w:hAnsi="仿宋" w:eastAsia="仿宋"/>
          <w:sz w:val="32"/>
          <w:szCs w:val="32"/>
          <w:highlight w:val="none"/>
        </w:rPr>
      </w:pPr>
      <w:r>
        <w:rPr>
          <w:rFonts w:hint="eastAsia" w:ascii="仿宋" w:hAnsi="仿宋" w:eastAsia="仿宋" w:cs="仿宋_GB2312"/>
          <w:sz w:val="32"/>
          <w:szCs w:val="32"/>
          <w:highlight w:val="none"/>
          <w:lang w:val="en-US" w:eastAsia="zh-CN"/>
        </w:rPr>
        <w:t>2025</w:t>
      </w:r>
      <w:r>
        <w:rPr>
          <w:rFonts w:hint="eastAsia" w:ascii="仿宋" w:hAnsi="仿宋" w:eastAsia="仿宋"/>
          <w:sz w:val="32"/>
          <w:szCs w:val="32"/>
          <w:highlight w:val="none"/>
        </w:rPr>
        <w:t>年，</w:t>
      </w:r>
      <w:r>
        <w:rPr>
          <w:rFonts w:hint="eastAsia" w:ascii="仿宋" w:hAnsi="仿宋" w:eastAsia="仿宋"/>
          <w:sz w:val="32"/>
          <w:szCs w:val="32"/>
          <w:lang w:val="en-US" w:eastAsia="zh-CN"/>
        </w:rPr>
        <w:t>莆田市荔城区西天尾工业园服务中心</w:t>
      </w:r>
      <w:r>
        <w:rPr>
          <w:rFonts w:ascii="仿宋" w:hAnsi="仿宋" w:eastAsia="仿宋"/>
          <w:sz w:val="32"/>
          <w:u w:color="auto"/>
        </w:rPr>
        <w:t>单位</w:t>
      </w:r>
      <w:r>
        <w:rPr>
          <w:rFonts w:ascii="仿宋" w:hAnsi="仿宋" w:eastAsia="仿宋"/>
          <w:sz w:val="32"/>
          <w:u w:val="none" w:color="auto"/>
        </w:rPr>
        <w:t>主要任务是：</w:t>
      </w:r>
    </w:p>
    <w:p>
      <w:pPr>
        <w:spacing w:line="600" w:lineRule="exact"/>
        <w:jc w:val="left"/>
        <w:rPr>
          <w:rFonts w:hint="eastAsia" w:ascii="仿宋" w:hAnsi="仿宋" w:eastAsia="仿宋"/>
          <w:sz w:val="32"/>
          <w:szCs w:val="32"/>
          <w:lang w:val="en-US" w:eastAsia="zh-CN"/>
        </w:rPr>
        <w:sectPr>
          <w:pgSz w:w="11906" w:h="16838"/>
          <w:pgMar w:top="1440" w:right="1800" w:bottom="1440" w:left="1800" w:header="851" w:footer="992" w:gutter="0"/>
          <w:pgNumType w:fmt="decimal"/>
          <w:cols w:space="720" w:num="1"/>
          <w:docGrid w:type="lines" w:linePitch="312" w:charSpace="0"/>
        </w:sectPr>
      </w:pPr>
      <w:r>
        <w:tab/>
      </w:r>
      <w:r>
        <w:rPr>
          <w:rFonts w:hint="eastAsia" w:ascii="仿宋" w:hAnsi="仿宋" w:eastAsia="仿宋"/>
          <w:sz w:val="32"/>
          <w:szCs w:val="32"/>
          <w:lang w:val="en-US" w:eastAsia="zh-CN"/>
        </w:rPr>
        <w:t xml:space="preserve">以深入贯彻落实“强产兴城”双轮驱动发展战略为契机，围绕园区标准化建设，加大开发区基础设施建设投入，高标准推进园区公共服务配套，打造产城融合现代化开发区。围绕上述任务，重点抓好以下工作： </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（一）加大项目推进力度。 </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（二）加大资源收购。 </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（三）加强服务保障。 </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（四）打造功能性开发区。 </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（五）打造产城融合开发区。 </w:t>
      </w:r>
      <w:r>
        <w:rPr>
          <w:rFonts w:hint="eastAsia" w:ascii="仿宋" w:hAnsi="仿宋" w:eastAsia="仿宋"/>
          <w:sz w:val="32"/>
          <w:szCs w:val="32"/>
          <w:lang w:val="en-US" w:eastAsia="zh-CN"/>
        </w:rPr>
        <w:cr/>
      </w:r>
      <w:r>
        <w:rPr>
          <w:rFonts w:hint="eastAsia" w:ascii="仿宋" w:hAnsi="仿宋" w:eastAsia="仿宋"/>
          <w:sz w:val="32"/>
          <w:szCs w:val="32"/>
          <w:lang w:val="en-US" w:eastAsia="zh-CN"/>
        </w:rPr>
        <w:t>（六）加强党建指导，自身建设更上台阶。一是严格落实全面从严治党主体责任。</w:t>
      </w:r>
      <w:r>
        <w:cr/>
      </w:r>
    </w:p>
    <w:p>
      <w:pPr>
        <w:pStyle w:val="3"/>
        <w:jc w:val="both"/>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keepNext w:val="0"/>
        <w:keepLines w:val="0"/>
        <w:pageBreakBefore w:val="0"/>
        <w:widowControl w:val="0"/>
        <w:kinsoku/>
        <w:wordWrap/>
        <w:overflowPunct/>
        <w:topLinePunct w:val="0"/>
        <w:autoSpaceDE/>
        <w:autoSpaceDN/>
        <w:bidi w:val="0"/>
        <w:adjustRightInd/>
        <w:snapToGrid/>
        <w:spacing w:after="320" w:line="240" w:lineRule="auto"/>
        <w:jc w:val="left"/>
        <w:textAlignment w:val="auto"/>
        <w:rPr>
          <w:rStyle w:val="12"/>
          <w:rFonts w:hint="eastAsia" w:ascii="黑体" w:hAnsi="黑体" w:eastAsia="黑体" w:cs="黑体"/>
          <w:b w:val="0"/>
          <w:bCs/>
          <w:sz w:val="56"/>
          <w:szCs w:val="56"/>
          <w:lang w:val="en-US" w:eastAsia="zh-CN"/>
        </w:rPr>
      </w:pPr>
      <w:bookmarkStart w:id="5" w:name="_Toc22813"/>
      <w:r>
        <w:rPr>
          <w:rStyle w:val="12"/>
          <w:rFonts w:hint="eastAsia"/>
          <w:b w:val="0"/>
          <w:bCs/>
          <w:sz w:val="56"/>
          <w:szCs w:val="56"/>
        </w:rPr>
        <w:t>第二部分</w:t>
      </w:r>
      <w:bookmarkEnd w:id="5"/>
    </w:p>
    <w:p>
      <w:pPr>
        <w:pStyle w:val="2"/>
        <w:keepNext/>
        <w:keepLines/>
        <w:pageBreakBefore w:val="0"/>
        <w:widowControl w:val="0"/>
        <w:kinsoku/>
        <w:wordWrap/>
        <w:overflowPunct/>
        <w:topLinePunct w:val="0"/>
        <w:autoSpaceDE/>
        <w:autoSpaceDN/>
        <w:bidi w:val="0"/>
        <w:adjustRightInd/>
        <w:snapToGrid/>
        <w:spacing w:after="320" w:line="240" w:lineRule="auto"/>
        <w:jc w:val="center"/>
        <w:textAlignment w:val="auto"/>
        <w:rPr>
          <w:rFonts w:hint="eastAsia" w:ascii="黑体" w:hAnsi="黑体" w:eastAsia="黑体" w:cs="黑体"/>
          <w:b w:val="0"/>
          <w:bCs/>
          <w:sz w:val="56"/>
          <w:szCs w:val="36"/>
        </w:rPr>
      </w:pPr>
      <w:bookmarkStart w:id="6" w:name="_Toc3971"/>
      <w:r>
        <w:rPr>
          <w:rFonts w:hint="eastAsia" w:ascii="黑体" w:hAnsi="黑体" w:cs="黑体"/>
          <w:b w:val="0"/>
          <w:bCs/>
          <w:sz w:val="56"/>
          <w:lang w:eastAsia="zh-CN"/>
        </w:rPr>
        <w:t>2025</w:t>
      </w:r>
      <w:r>
        <w:rPr>
          <w:rFonts w:hint="eastAsia" w:ascii="黑体" w:hAnsi="黑体" w:eastAsia="黑体" w:cs="黑体"/>
          <w:b w:val="0"/>
          <w:bCs/>
          <w:sz w:val="56"/>
        </w:rPr>
        <w:t>年度</w:t>
      </w:r>
      <w:r>
        <w:rPr>
          <w:rFonts w:hint="eastAsia" w:ascii="黑体" w:hAnsi="黑体" w:cs="黑体"/>
          <w:b w:val="0"/>
          <w:bCs/>
          <w:sz w:val="56"/>
          <w:lang w:val="en-US" w:eastAsia="zh-CN"/>
        </w:rPr>
        <w:t>单位</w:t>
      </w:r>
      <w:r>
        <w:rPr>
          <w:rFonts w:hint="eastAsia" w:ascii="黑体" w:hAnsi="黑体" w:eastAsia="黑体" w:cs="黑体"/>
          <w:b w:val="0"/>
          <w:bCs/>
          <w:sz w:val="56"/>
        </w:rPr>
        <w:t>预算表</w:t>
      </w:r>
      <w:bookmarkEnd w:id="6"/>
    </w:p>
    <w:p>
      <w:pPr>
        <w:pStyle w:val="3"/>
        <w:rPr>
          <w:rFonts w:ascii="黑体" w:hAnsi="黑体" w:eastAsia="黑体"/>
          <w:sz w:val="56"/>
          <w:szCs w:val="36"/>
        </w:rPr>
      </w:pPr>
    </w:p>
    <w:p>
      <w:pPr>
        <w:widowControl/>
        <w:jc w:val="left"/>
        <w:rPr>
          <w:rFonts w:ascii="仿宋" w:hAnsi="仿宋" w:eastAsia="仿宋" w:cs="仿宋_GB2312"/>
          <w:sz w:val="32"/>
          <w:szCs w:val="32"/>
        </w:rPr>
        <w:sectPr>
          <w:pgSz w:w="11906" w:h="16838"/>
          <w:pgMar w:top="1440" w:right="1800" w:bottom="1440" w:left="1800" w:header="851" w:footer="992" w:gutter="0"/>
          <w:pgNumType w:fmt="decimal"/>
          <w:cols w:space="720"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b w:val="0"/>
          <w:bCs/>
        </w:rPr>
      </w:pPr>
      <w:bookmarkStart w:id="7" w:name="_Toc28016"/>
      <w:r>
        <w:rPr>
          <w:rFonts w:hint="eastAsia"/>
          <w:b w:val="0"/>
          <w:bCs/>
        </w:rPr>
        <w:t>一、收支预算总表</w:t>
      </w:r>
      <w:bookmarkEnd w:id="7"/>
    </w:p>
    <w:p>
      <w:pPr>
        <w:tabs>
          <w:tab w:val="left" w:pos="7513"/>
        </w:tabs>
        <w:adjustRightInd w:val="0"/>
        <w:snapToGrid w:val="0"/>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ascii="方正小标宋简体" w:hAnsi="方正小标宋简体" w:eastAsia="方正小标宋简体" w:cs="方正小标宋简体"/>
          <w:sz w:val="32"/>
          <w:u w:color="auto"/>
        </w:rPr>
        <w:t>年度收支预算总表</w:t>
      </w:r>
    </w:p>
    <w:p>
      <w:pPr>
        <w:tabs>
          <w:tab w:val="left" w:pos="7513"/>
        </w:tabs>
        <w:adjustRightInd w:val="0"/>
        <w:snapToGrid w:val="0"/>
        <w:spacing w:line="300" w:lineRule="exact"/>
        <w:jc w:val="right"/>
        <w:rPr>
          <w:rFonts w:ascii="宋体" w:hAnsi="宋体" w:eastAsia="宋体" w:cs="宋体"/>
          <w:kern w:val="0"/>
          <w:sz w:val="22"/>
          <w:szCs w:val="24"/>
        </w:rPr>
      </w:pPr>
      <w:r>
        <w:rPr>
          <w:rFonts w:hint="eastAsia" w:ascii="宋体" w:hAnsi="宋体" w:eastAsia="宋体" w:cs="宋体"/>
          <w:kern w:val="0"/>
          <w:sz w:val="22"/>
          <w:szCs w:val="24"/>
        </w:rPr>
        <w:t>单位：万元</w:t>
      </w:r>
    </w:p>
    <w:tbl>
      <w:tblPr>
        <w:tblStyle w:val="9"/>
        <w:tblW w:w="9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3482"/>
        <w:gridCol w:w="1203"/>
        <w:gridCol w:w="3482"/>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tblHeader/>
          <w:jc w:val="center"/>
        </w:trPr>
        <w:tc>
          <w:tcPr>
            <w:tcW w:w="4685" w:type="dxa"/>
            <w:gridSpan w:val="2"/>
            <w:noWrap w:val="0"/>
            <w:vAlign w:val="center"/>
          </w:tcPr>
          <w:p>
            <w:pPr>
              <w:widowControl w:val="0"/>
              <w:tabs>
                <w:tab w:val="left" w:pos="7513"/>
              </w:tabs>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收入</w:t>
            </w:r>
          </w:p>
        </w:tc>
        <w:tc>
          <w:tcPr>
            <w:tcW w:w="4687" w:type="dxa"/>
            <w:gridSpan w:val="2"/>
            <w:noWrap w:val="0"/>
            <w:vAlign w:val="center"/>
          </w:tcPr>
          <w:p>
            <w:pPr>
              <w:widowControl w:val="0"/>
              <w:tabs>
                <w:tab w:val="left" w:pos="7513"/>
              </w:tabs>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tabs>
                <w:tab w:val="left" w:pos="7513"/>
              </w:tabs>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项目</w:t>
            </w:r>
          </w:p>
        </w:tc>
        <w:tc>
          <w:tcPr>
            <w:tcW w:w="1203" w:type="dxa"/>
            <w:noWrap w:val="0"/>
            <w:vAlign w:val="center"/>
          </w:tcPr>
          <w:p>
            <w:pPr>
              <w:widowControl w:val="0"/>
              <w:tabs>
                <w:tab w:val="left" w:pos="7513"/>
              </w:tabs>
              <w:snapToGrid w:val="0"/>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预算数</w:t>
            </w:r>
          </w:p>
        </w:tc>
        <w:tc>
          <w:tcPr>
            <w:tcW w:w="3482" w:type="dxa"/>
            <w:noWrap w:val="0"/>
            <w:vAlign w:val="center"/>
          </w:tcPr>
          <w:p>
            <w:pPr>
              <w:widowControl w:val="0"/>
              <w:tabs>
                <w:tab w:val="left" w:pos="7513"/>
              </w:tabs>
              <w:snapToGrid w:val="0"/>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项目</w:t>
            </w:r>
          </w:p>
        </w:tc>
        <w:tc>
          <w:tcPr>
            <w:tcW w:w="1205" w:type="dxa"/>
            <w:noWrap w:val="0"/>
            <w:vAlign w:val="center"/>
          </w:tcPr>
          <w:p>
            <w:pPr>
              <w:widowControl w:val="0"/>
              <w:tabs>
                <w:tab w:val="left" w:pos="7513"/>
              </w:tabs>
              <w:snapToGrid w:val="0"/>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一、一般公共预算拨款收入</w:t>
            </w: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297.54</w:t>
            </w: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一、一般公共服务支出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二、政府性基金预算拨款收入</w:t>
            </w: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二、外交支出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三、国有资本经营预算拨款收入</w:t>
            </w: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三、国防支出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四、财政专户管理资金收入</w:t>
            </w: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四、公共安全支出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五、事业收入</w:t>
            </w: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五、教育支出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六、事业单位经营收入</w:t>
            </w: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六、科学技术支出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七、上级补助收入</w:t>
            </w: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七、文化旅游体育与传媒支出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八、附属单位上缴收入</w:t>
            </w: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八、社会保障和就业支出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cs="宋体"/>
                <w:kern w:val="2"/>
                <w:position w:val="-1"/>
                <w:sz w:val="18"/>
                <w:szCs w:val="18"/>
                <w:lang w:val="en-US" w:eastAsia="zh-CN" w:bidi="ar-SA"/>
              </w:rPr>
              <w:t>27.71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九、其他收入</w:t>
            </w: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九、卫生健康支出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cs="宋体"/>
                <w:kern w:val="2"/>
                <w:position w:val="-1"/>
                <w:sz w:val="18"/>
                <w:szCs w:val="18"/>
                <w:lang w:val="en-US" w:eastAsia="zh-CN" w:bidi="ar-SA"/>
              </w:rPr>
              <w:t>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十、上年结转结余</w:t>
            </w: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十、节能环保支出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十一、城乡社区支出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十二、农林水支出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十三、交通运输支出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十四、资源勘探工业信息等支出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十五、商业服务业等支出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cs="宋体"/>
                <w:kern w:val="2"/>
                <w:position w:val="-1"/>
                <w:sz w:val="18"/>
                <w:szCs w:val="18"/>
                <w:lang w:val="en-US" w:eastAsia="zh-CN" w:bidi="ar-SA"/>
              </w:rPr>
              <w:t>239.5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十六、金融支出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十七、援助其他地区支出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十八、自然资源海洋气象等支出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十九、住房保障支出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cs="宋体"/>
                <w:kern w:val="2"/>
                <w:position w:val="-1"/>
                <w:sz w:val="18"/>
                <w:szCs w:val="18"/>
                <w:lang w:val="en-US" w:eastAsia="zh-CN" w:bidi="ar-SA"/>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二十、粮油物资储备支出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二十一、国有资本经营预算支出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二十二、灾害防治及应急管理支出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二十三、其他支出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二十四、债务还本支出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二十五、债务付息支出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二十六、债务发行费用支出</w:t>
            </w:r>
          </w:p>
        </w:tc>
        <w:tc>
          <w:tcPr>
            <w:tcW w:w="1205"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noWrap w:val="0"/>
            <w:vAlign w:val="center"/>
          </w:tcPr>
          <w:p>
            <w:pPr>
              <w:widowControl w:val="0"/>
              <w:jc w:val="center"/>
              <w:rPr>
                <w:rFonts w:ascii="Calibri" w:hAnsi="Calibri" w:eastAsia="宋体" w:cs="Times New Roman"/>
                <w:b/>
                <w:bCs w:val="0"/>
                <w:kern w:val="2"/>
                <w:sz w:val="22"/>
                <w:szCs w:val="22"/>
                <w:lang w:val="en-US" w:eastAsia="zh-CN" w:bidi="ar-SA"/>
              </w:rPr>
            </w:pPr>
            <w:r>
              <w:rPr>
                <w:rFonts w:ascii="宋体" w:hAnsi="宋体" w:eastAsia="宋体" w:cs="宋体"/>
                <w:b/>
                <w:bCs w:val="0"/>
                <w:kern w:val="2"/>
                <w:position w:val="-1"/>
                <w:sz w:val="22"/>
                <w:szCs w:val="22"/>
                <w:lang w:val="en-US" w:eastAsia="zh-CN" w:bidi="ar-SA"/>
              </w:rPr>
              <w:t>收入合计</w:t>
            </w:r>
          </w:p>
        </w:tc>
        <w:tc>
          <w:tcPr>
            <w:tcW w:w="1203" w:type="dxa"/>
            <w:noWrap w:val="0"/>
            <w:vAlign w:val="center"/>
          </w:tcPr>
          <w:p>
            <w:pPr>
              <w:widowControl w:val="0"/>
              <w:jc w:val="right"/>
              <w:rPr>
                <w:rFonts w:hint="default" w:ascii="Calibri" w:hAnsi="Calibri" w:eastAsia="宋体" w:cs="Times New Roman"/>
                <w:b/>
                <w:bCs w:val="0"/>
                <w:kern w:val="2"/>
                <w:sz w:val="22"/>
                <w:szCs w:val="22"/>
                <w:lang w:val="en-US" w:eastAsia="zh-CN" w:bidi="ar-SA"/>
              </w:rPr>
            </w:pPr>
            <w:r>
              <w:rPr>
                <w:rFonts w:hint="eastAsia" w:ascii="宋体" w:hAnsi="宋体" w:cs="宋体"/>
                <w:b/>
                <w:bCs w:val="0"/>
                <w:kern w:val="2"/>
                <w:position w:val="-1"/>
                <w:sz w:val="22"/>
                <w:szCs w:val="22"/>
                <w:lang w:val="en-US" w:eastAsia="zh-CN" w:bidi="ar-SA"/>
              </w:rPr>
              <w:t>297.54</w:t>
            </w:r>
          </w:p>
        </w:tc>
        <w:tc>
          <w:tcPr>
            <w:tcW w:w="3482" w:type="dxa"/>
            <w:noWrap w:val="0"/>
            <w:vAlign w:val="center"/>
          </w:tcPr>
          <w:p>
            <w:pPr>
              <w:widowControl w:val="0"/>
              <w:jc w:val="center"/>
              <w:rPr>
                <w:rFonts w:ascii="Calibri" w:hAnsi="Calibri" w:eastAsia="宋体" w:cs="Times New Roman"/>
                <w:b/>
                <w:bCs w:val="0"/>
                <w:kern w:val="2"/>
                <w:sz w:val="22"/>
                <w:szCs w:val="22"/>
                <w:lang w:val="en-US" w:eastAsia="zh-CN" w:bidi="ar-SA"/>
              </w:rPr>
            </w:pPr>
            <w:r>
              <w:rPr>
                <w:rFonts w:ascii="宋体" w:hAnsi="宋体" w:eastAsia="宋体" w:cs="宋体"/>
                <w:b/>
                <w:bCs w:val="0"/>
                <w:kern w:val="2"/>
                <w:position w:val="-1"/>
                <w:sz w:val="22"/>
                <w:szCs w:val="22"/>
                <w:lang w:val="en-US" w:eastAsia="zh-CN" w:bidi="ar-SA"/>
              </w:rPr>
              <w:t>支出合计</w:t>
            </w:r>
          </w:p>
        </w:tc>
        <w:tc>
          <w:tcPr>
            <w:tcW w:w="1205" w:type="dxa"/>
            <w:noWrap w:val="0"/>
            <w:vAlign w:val="center"/>
          </w:tcPr>
          <w:p>
            <w:pPr>
              <w:widowControl w:val="0"/>
              <w:jc w:val="right"/>
              <w:rPr>
                <w:rFonts w:hint="default" w:ascii="Calibri" w:hAnsi="Calibri" w:eastAsia="宋体" w:cs="Times New Roman"/>
                <w:b/>
                <w:bCs w:val="0"/>
                <w:kern w:val="2"/>
                <w:sz w:val="22"/>
                <w:szCs w:val="22"/>
                <w:lang w:val="en-US" w:eastAsia="zh-CN" w:bidi="ar-SA"/>
              </w:rPr>
            </w:pPr>
            <w:r>
              <w:rPr>
                <w:rFonts w:hint="eastAsia" w:ascii="宋体" w:hAnsi="宋体" w:cs="宋体"/>
                <w:b/>
                <w:bCs w:val="0"/>
                <w:kern w:val="2"/>
                <w:position w:val="-1"/>
                <w:sz w:val="22"/>
                <w:szCs w:val="22"/>
                <w:lang w:val="en-US" w:eastAsia="zh-CN" w:bidi="ar-SA"/>
              </w:rPr>
              <w:t>297.54</w:t>
            </w:r>
          </w:p>
        </w:tc>
      </w:tr>
    </w:tbl>
    <w:p>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NumType w:fmt="decimal"/>
          <w:cols w:space="720"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b w:val="0"/>
          <w:bCs/>
        </w:rPr>
      </w:pPr>
      <w:bookmarkStart w:id="8" w:name="_Toc1148"/>
      <w:r>
        <w:rPr>
          <w:rFonts w:hint="eastAsia"/>
          <w:b w:val="0"/>
          <w:bCs/>
        </w:rPr>
        <w:t>二、收入预算总表</w:t>
      </w:r>
      <w:bookmarkEnd w:id="8"/>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宋体" w:eastAsia="方正小标宋简体" w:cs="宋体"/>
          <w:kern w:val="0"/>
          <w:sz w:val="32"/>
          <w:szCs w:val="32"/>
          <w:lang w:eastAsia="zh-CN"/>
        </w:rPr>
        <w:t>2025</w:t>
      </w:r>
      <w:r>
        <w:rPr>
          <w:rFonts w:ascii="方正小标宋简体" w:hAnsi="方正小标宋简体" w:eastAsia="方正小标宋简体" w:cs="方正小标宋简体"/>
          <w:sz w:val="32"/>
          <w:u w:color="auto"/>
        </w:rPr>
        <w:t>年度收入预算总表</w:t>
      </w:r>
    </w:p>
    <w:p>
      <w:pPr>
        <w:tabs>
          <w:tab w:val="left" w:pos="7513"/>
        </w:tabs>
        <w:adjustRightInd w:val="0"/>
        <w:snapToGrid w:val="0"/>
        <w:spacing w:line="300" w:lineRule="exact"/>
        <w:jc w:val="right"/>
        <w:rPr>
          <w:rFonts w:ascii="仿宋" w:hAnsi="仿宋" w:eastAsia="仿宋"/>
          <w:sz w:val="22"/>
          <w:szCs w:val="22"/>
        </w:rPr>
      </w:pPr>
      <w:r>
        <w:rPr>
          <w:rFonts w:hint="eastAsia" w:ascii="宋体" w:hAnsi="宋体" w:eastAsia="宋体" w:cs="宋体"/>
          <w:kern w:val="0"/>
          <w:sz w:val="22"/>
          <w:szCs w:val="22"/>
        </w:rPr>
        <w:t>单位：万元</w:t>
      </w:r>
    </w:p>
    <w:tbl>
      <w:tblPr>
        <w:tblStyle w:val="9"/>
        <w:tblW w:w="15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2907"/>
        <w:gridCol w:w="1303"/>
        <w:gridCol w:w="1199"/>
        <w:gridCol w:w="1159"/>
        <w:gridCol w:w="1100"/>
        <w:gridCol w:w="1119"/>
        <w:gridCol w:w="879"/>
        <w:gridCol w:w="990"/>
        <w:gridCol w:w="879"/>
        <w:gridCol w:w="950"/>
        <w:gridCol w:w="821"/>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175" w:type="dxa"/>
            <w:noWrap w:val="0"/>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科目编码</w:t>
            </w:r>
          </w:p>
        </w:tc>
        <w:tc>
          <w:tcPr>
            <w:tcW w:w="2907" w:type="dxa"/>
            <w:noWrap w:val="0"/>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科目名称</w:t>
            </w:r>
          </w:p>
        </w:tc>
        <w:tc>
          <w:tcPr>
            <w:tcW w:w="1303" w:type="dxa"/>
            <w:noWrap w:val="0"/>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小计</w:t>
            </w:r>
          </w:p>
        </w:tc>
        <w:tc>
          <w:tcPr>
            <w:tcW w:w="1199" w:type="dxa"/>
            <w:noWrap w:val="0"/>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一般公共预算拨款收入</w:t>
            </w:r>
          </w:p>
        </w:tc>
        <w:tc>
          <w:tcPr>
            <w:tcW w:w="1159" w:type="dxa"/>
            <w:noWrap w:val="0"/>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政府性基金预算拨款收入</w:t>
            </w:r>
          </w:p>
        </w:tc>
        <w:tc>
          <w:tcPr>
            <w:tcW w:w="1100" w:type="dxa"/>
            <w:noWrap w:val="0"/>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国有资本经营预算拨款收入</w:t>
            </w:r>
          </w:p>
        </w:tc>
        <w:tc>
          <w:tcPr>
            <w:tcW w:w="1119" w:type="dxa"/>
            <w:noWrap w:val="0"/>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财政专户管理资金收入</w:t>
            </w:r>
          </w:p>
        </w:tc>
        <w:tc>
          <w:tcPr>
            <w:tcW w:w="879" w:type="dxa"/>
            <w:noWrap w:val="0"/>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事业</w:t>
            </w:r>
          </w:p>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收入</w:t>
            </w:r>
          </w:p>
        </w:tc>
        <w:tc>
          <w:tcPr>
            <w:tcW w:w="990" w:type="dxa"/>
            <w:noWrap w:val="0"/>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事业单位经营收入</w:t>
            </w:r>
          </w:p>
        </w:tc>
        <w:tc>
          <w:tcPr>
            <w:tcW w:w="879" w:type="dxa"/>
            <w:noWrap w:val="0"/>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上级补助收入</w:t>
            </w:r>
          </w:p>
        </w:tc>
        <w:tc>
          <w:tcPr>
            <w:tcW w:w="950" w:type="dxa"/>
            <w:noWrap w:val="0"/>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附属单位上缴收入</w:t>
            </w:r>
          </w:p>
        </w:tc>
        <w:tc>
          <w:tcPr>
            <w:tcW w:w="821" w:type="dxa"/>
            <w:noWrap w:val="0"/>
            <w:vAlign w:val="center"/>
          </w:tcPr>
          <w:p>
            <w:pPr>
              <w:widowControl w:val="0"/>
              <w:tabs>
                <w:tab w:val="left" w:pos="7513"/>
              </w:tabs>
              <w:adjustRightInd w:val="0"/>
              <w:snapToGrid w:val="0"/>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其他</w:t>
            </w:r>
          </w:p>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收入</w:t>
            </w:r>
          </w:p>
        </w:tc>
        <w:tc>
          <w:tcPr>
            <w:tcW w:w="873" w:type="dxa"/>
            <w:noWrap w:val="0"/>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082" w:type="dxa"/>
            <w:gridSpan w:val="2"/>
            <w:noWrap w:val="0"/>
            <w:vAlign w:val="center"/>
          </w:tcPr>
          <w:p>
            <w:pPr>
              <w:widowControl w:val="0"/>
              <w:jc w:val="center"/>
              <w:rPr>
                <w:rFonts w:ascii="Calibri" w:hAnsi="Calibri" w:eastAsia="宋体" w:cs="Times New Roman"/>
                <w:b/>
                <w:bCs w:val="0"/>
                <w:kern w:val="2"/>
                <w:sz w:val="22"/>
                <w:szCs w:val="22"/>
                <w:lang w:val="en-US" w:eastAsia="zh-CN" w:bidi="ar-SA"/>
              </w:rPr>
            </w:pPr>
            <w:r>
              <w:rPr>
                <w:rFonts w:ascii="宋体" w:hAnsi="宋体" w:eastAsia="宋体" w:cs="宋体"/>
                <w:b/>
                <w:bCs w:val="0"/>
                <w:kern w:val="2"/>
                <w:position w:val="-1"/>
                <w:sz w:val="22"/>
                <w:szCs w:val="22"/>
                <w:lang w:val="en-US" w:eastAsia="zh-CN" w:bidi="ar-SA"/>
              </w:rPr>
              <w:t>合计</w:t>
            </w:r>
          </w:p>
        </w:tc>
        <w:tc>
          <w:tcPr>
            <w:tcW w:w="1303" w:type="dxa"/>
            <w:noWrap w:val="0"/>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297.54</w:t>
            </w:r>
          </w:p>
        </w:tc>
        <w:tc>
          <w:tcPr>
            <w:tcW w:w="1199" w:type="dxa"/>
            <w:noWrap w:val="0"/>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297.54</w:t>
            </w:r>
          </w:p>
        </w:tc>
        <w:tc>
          <w:tcPr>
            <w:tcW w:w="1159" w:type="dxa"/>
            <w:noWrap w:val="0"/>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1100" w:type="dxa"/>
            <w:noWrap w:val="0"/>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1119" w:type="dxa"/>
            <w:noWrap w:val="0"/>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879" w:type="dxa"/>
            <w:noWrap w:val="0"/>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990" w:type="dxa"/>
            <w:noWrap w:val="0"/>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879" w:type="dxa"/>
            <w:noWrap w:val="0"/>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950" w:type="dxa"/>
            <w:noWrap w:val="0"/>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821" w:type="dxa"/>
            <w:noWrap w:val="0"/>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873" w:type="dxa"/>
            <w:noWrap w:val="0"/>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noWrap w:val="0"/>
            <w:vAlign w:val="center"/>
          </w:tcPr>
          <w:p>
            <w:r>
              <w:rPr>
                <w:b/>
              </w:rPr>
              <w:t>208</w:t>
            </w:r>
          </w:p>
        </w:tc>
        <w:tc>
          <w:tcPr>
            <w:tcW w:w="2907" w:type="dxa"/>
            <w:noWrap w:val="0"/>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社会保障和就业支出</w:t>
            </w:r>
          </w:p>
        </w:tc>
        <w:tc>
          <w:tcPr>
            <w:tcW w:w="1303"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27.71</w:t>
            </w:r>
          </w:p>
        </w:tc>
        <w:tc>
          <w:tcPr>
            <w:tcW w:w="1199"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27.71</w:t>
            </w:r>
          </w:p>
        </w:tc>
        <w:tc>
          <w:tcPr>
            <w:tcW w:w="115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noWrap w:val="0"/>
            <w:vAlign w:val="center"/>
          </w:tcPr>
          <w:p>
            <w:r>
              <w:rPr>
                <w:b/>
              </w:rPr>
              <w:t>20805</w:t>
            </w:r>
          </w:p>
        </w:tc>
        <w:tc>
          <w:tcPr>
            <w:tcW w:w="2907" w:type="dxa"/>
            <w:noWrap w:val="0"/>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行政事业单位养老支出</w:t>
            </w:r>
          </w:p>
        </w:tc>
        <w:tc>
          <w:tcPr>
            <w:tcW w:w="1303"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27.71</w:t>
            </w:r>
          </w:p>
        </w:tc>
        <w:tc>
          <w:tcPr>
            <w:tcW w:w="1199"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27.71</w:t>
            </w:r>
          </w:p>
        </w:tc>
        <w:tc>
          <w:tcPr>
            <w:tcW w:w="115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noWrap w:val="0"/>
            <w:vAlign w:val="center"/>
          </w:tcPr>
          <w:p>
            <w:r>
              <w:t>2080505</w:t>
            </w:r>
          </w:p>
        </w:tc>
        <w:tc>
          <w:tcPr>
            <w:tcW w:w="2907" w:type="dxa"/>
            <w:noWrap w:val="0"/>
            <w:vAlign w:val="center"/>
          </w:tcPr>
          <w:p>
            <w:pPr>
              <w:widowControl w:val="0"/>
              <w:jc w:val="both"/>
              <w:rPr>
                <w:sz w:val="18"/>
                <w:szCs w:val="18"/>
              </w:rPr>
            </w:pPr>
            <w:r>
              <w:rPr>
                <w:rFonts w:hint="eastAsia" w:ascii="宋体" w:hAnsi="宋体" w:eastAsia="宋体" w:cs="宋体"/>
                <w:kern w:val="2"/>
                <w:position w:val="-1"/>
                <w:sz w:val="18"/>
                <w:szCs w:val="18"/>
                <w:lang w:val="en-US" w:eastAsia="zh-CN" w:bidi="ar-SA"/>
              </w:rPr>
              <w:t>机关事业单位基本养老保险缴费支出</w:t>
            </w:r>
          </w:p>
        </w:tc>
        <w:tc>
          <w:tcPr>
            <w:tcW w:w="1303"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27.71</w:t>
            </w:r>
          </w:p>
        </w:tc>
        <w:tc>
          <w:tcPr>
            <w:tcW w:w="1199"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27.71</w:t>
            </w:r>
          </w:p>
        </w:tc>
        <w:tc>
          <w:tcPr>
            <w:tcW w:w="115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noWrap w:val="0"/>
            <w:vAlign w:val="center"/>
          </w:tcPr>
          <w:p>
            <w:r>
              <w:rPr>
                <w:b/>
              </w:rPr>
              <w:t>210</w:t>
            </w:r>
          </w:p>
        </w:tc>
        <w:tc>
          <w:tcPr>
            <w:tcW w:w="2907" w:type="dxa"/>
            <w:noWrap w:val="0"/>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卫生健康支出</w:t>
            </w:r>
          </w:p>
        </w:tc>
        <w:tc>
          <w:tcPr>
            <w:tcW w:w="1303"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8.83</w:t>
            </w:r>
          </w:p>
        </w:tc>
        <w:tc>
          <w:tcPr>
            <w:tcW w:w="1199"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8.83</w:t>
            </w:r>
          </w:p>
        </w:tc>
        <w:tc>
          <w:tcPr>
            <w:tcW w:w="115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noWrap w:val="0"/>
            <w:vAlign w:val="center"/>
          </w:tcPr>
          <w:p>
            <w:r>
              <w:rPr>
                <w:b/>
              </w:rPr>
              <w:t>21011</w:t>
            </w:r>
          </w:p>
        </w:tc>
        <w:tc>
          <w:tcPr>
            <w:tcW w:w="2907" w:type="dxa"/>
            <w:noWrap w:val="0"/>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行政事业单位医疗</w:t>
            </w:r>
          </w:p>
        </w:tc>
        <w:tc>
          <w:tcPr>
            <w:tcW w:w="1303"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8.83</w:t>
            </w:r>
          </w:p>
        </w:tc>
        <w:tc>
          <w:tcPr>
            <w:tcW w:w="1199"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8.83</w:t>
            </w:r>
          </w:p>
        </w:tc>
        <w:tc>
          <w:tcPr>
            <w:tcW w:w="115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noWrap w:val="0"/>
            <w:vAlign w:val="center"/>
          </w:tcPr>
          <w:p>
            <w:r>
              <w:t>2101102</w:t>
            </w:r>
          </w:p>
        </w:tc>
        <w:tc>
          <w:tcPr>
            <w:tcW w:w="2907" w:type="dxa"/>
            <w:noWrap w:val="0"/>
            <w:vAlign w:val="center"/>
          </w:tcPr>
          <w:p>
            <w:pPr>
              <w:widowControl w:val="0"/>
              <w:jc w:val="both"/>
              <w:rPr>
                <w:sz w:val="18"/>
                <w:szCs w:val="18"/>
              </w:rPr>
            </w:pPr>
            <w:r>
              <w:rPr>
                <w:rFonts w:hint="eastAsia" w:ascii="宋体" w:hAnsi="宋体" w:eastAsia="宋体" w:cs="宋体"/>
                <w:kern w:val="2"/>
                <w:position w:val="-1"/>
                <w:sz w:val="18"/>
                <w:szCs w:val="18"/>
                <w:lang w:val="en-US" w:eastAsia="zh-CN" w:bidi="ar-SA"/>
              </w:rPr>
              <w:t>事业单位医疗</w:t>
            </w:r>
          </w:p>
        </w:tc>
        <w:tc>
          <w:tcPr>
            <w:tcW w:w="1303"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8.83</w:t>
            </w:r>
          </w:p>
        </w:tc>
        <w:tc>
          <w:tcPr>
            <w:tcW w:w="1199"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8.83</w:t>
            </w:r>
          </w:p>
        </w:tc>
        <w:tc>
          <w:tcPr>
            <w:tcW w:w="115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noWrap w:val="0"/>
            <w:vAlign w:val="center"/>
          </w:tcPr>
          <w:p>
            <w:r>
              <w:rPr>
                <w:b/>
              </w:rPr>
              <w:t>216</w:t>
            </w:r>
          </w:p>
        </w:tc>
        <w:tc>
          <w:tcPr>
            <w:tcW w:w="2907" w:type="dxa"/>
            <w:noWrap w:val="0"/>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商业服务业等支出</w:t>
            </w:r>
          </w:p>
        </w:tc>
        <w:tc>
          <w:tcPr>
            <w:tcW w:w="1303"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239.5</w:t>
            </w:r>
          </w:p>
        </w:tc>
        <w:tc>
          <w:tcPr>
            <w:tcW w:w="1199"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239.5</w:t>
            </w:r>
          </w:p>
        </w:tc>
        <w:tc>
          <w:tcPr>
            <w:tcW w:w="115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noWrap w:val="0"/>
            <w:vAlign w:val="center"/>
          </w:tcPr>
          <w:p>
            <w:r>
              <w:rPr>
                <w:b/>
              </w:rPr>
              <w:t>21602</w:t>
            </w:r>
          </w:p>
        </w:tc>
        <w:tc>
          <w:tcPr>
            <w:tcW w:w="2907" w:type="dxa"/>
            <w:noWrap w:val="0"/>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商业流通事务</w:t>
            </w:r>
          </w:p>
        </w:tc>
        <w:tc>
          <w:tcPr>
            <w:tcW w:w="1303"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239.5</w:t>
            </w:r>
          </w:p>
        </w:tc>
        <w:tc>
          <w:tcPr>
            <w:tcW w:w="1199"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239.5</w:t>
            </w:r>
          </w:p>
        </w:tc>
        <w:tc>
          <w:tcPr>
            <w:tcW w:w="115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noWrap w:val="0"/>
            <w:vAlign w:val="center"/>
          </w:tcPr>
          <w:p>
            <w:r>
              <w:t>2160250</w:t>
            </w:r>
          </w:p>
        </w:tc>
        <w:tc>
          <w:tcPr>
            <w:tcW w:w="2907" w:type="dxa"/>
            <w:noWrap w:val="0"/>
            <w:vAlign w:val="center"/>
          </w:tcPr>
          <w:p>
            <w:pPr>
              <w:widowControl w:val="0"/>
              <w:jc w:val="both"/>
              <w:rPr>
                <w:sz w:val="18"/>
                <w:szCs w:val="18"/>
              </w:rPr>
            </w:pPr>
            <w:r>
              <w:rPr>
                <w:rFonts w:hint="eastAsia" w:ascii="宋体" w:hAnsi="宋体" w:eastAsia="宋体" w:cs="宋体"/>
                <w:kern w:val="2"/>
                <w:position w:val="-1"/>
                <w:sz w:val="18"/>
                <w:szCs w:val="18"/>
                <w:lang w:val="en-US" w:eastAsia="zh-CN" w:bidi="ar-SA"/>
              </w:rPr>
              <w:t>事业运行</w:t>
            </w:r>
          </w:p>
        </w:tc>
        <w:tc>
          <w:tcPr>
            <w:tcW w:w="1303"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239.5</w:t>
            </w:r>
          </w:p>
        </w:tc>
        <w:tc>
          <w:tcPr>
            <w:tcW w:w="1199"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239.5</w:t>
            </w:r>
          </w:p>
        </w:tc>
        <w:tc>
          <w:tcPr>
            <w:tcW w:w="115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noWrap w:val="0"/>
            <w:vAlign w:val="center"/>
          </w:tcPr>
          <w:p>
            <w:r>
              <w:rPr>
                <w:b/>
              </w:rPr>
              <w:t>221</w:t>
            </w:r>
          </w:p>
        </w:tc>
        <w:tc>
          <w:tcPr>
            <w:tcW w:w="2907" w:type="dxa"/>
            <w:noWrap w:val="0"/>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住房保障支出</w:t>
            </w:r>
          </w:p>
        </w:tc>
        <w:tc>
          <w:tcPr>
            <w:tcW w:w="1303"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21.5</w:t>
            </w:r>
          </w:p>
        </w:tc>
        <w:tc>
          <w:tcPr>
            <w:tcW w:w="1199"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21.5</w:t>
            </w:r>
          </w:p>
        </w:tc>
        <w:tc>
          <w:tcPr>
            <w:tcW w:w="115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noWrap w:val="0"/>
            <w:vAlign w:val="center"/>
          </w:tcPr>
          <w:p>
            <w:r>
              <w:rPr>
                <w:b/>
              </w:rPr>
              <w:t>22102</w:t>
            </w:r>
          </w:p>
        </w:tc>
        <w:tc>
          <w:tcPr>
            <w:tcW w:w="2907" w:type="dxa"/>
            <w:noWrap w:val="0"/>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住房改革支出</w:t>
            </w:r>
          </w:p>
        </w:tc>
        <w:tc>
          <w:tcPr>
            <w:tcW w:w="1303"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21.5</w:t>
            </w:r>
          </w:p>
        </w:tc>
        <w:tc>
          <w:tcPr>
            <w:tcW w:w="1199"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21.5</w:t>
            </w:r>
          </w:p>
        </w:tc>
        <w:tc>
          <w:tcPr>
            <w:tcW w:w="115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noWrap w:val="0"/>
            <w:vAlign w:val="center"/>
          </w:tcPr>
          <w:p>
            <w:r>
              <w:t>2210201</w:t>
            </w:r>
          </w:p>
        </w:tc>
        <w:tc>
          <w:tcPr>
            <w:tcW w:w="2907" w:type="dxa"/>
            <w:noWrap w:val="0"/>
            <w:vAlign w:val="center"/>
          </w:tcPr>
          <w:p>
            <w:pPr>
              <w:widowControl w:val="0"/>
              <w:jc w:val="both"/>
              <w:rPr>
                <w:sz w:val="18"/>
                <w:szCs w:val="18"/>
              </w:rPr>
            </w:pPr>
            <w:r>
              <w:rPr>
                <w:rFonts w:hint="eastAsia" w:ascii="宋体" w:hAnsi="宋体" w:eastAsia="宋体" w:cs="宋体"/>
                <w:kern w:val="2"/>
                <w:position w:val="-1"/>
                <w:sz w:val="18"/>
                <w:szCs w:val="18"/>
                <w:lang w:val="en-US" w:eastAsia="zh-CN" w:bidi="ar-SA"/>
              </w:rPr>
              <w:t>住房公积金</w:t>
            </w:r>
          </w:p>
        </w:tc>
        <w:tc>
          <w:tcPr>
            <w:tcW w:w="1303"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21.5</w:t>
            </w:r>
          </w:p>
        </w:tc>
        <w:tc>
          <w:tcPr>
            <w:tcW w:w="1199" w:type="dxa"/>
            <w:noWrap w:val="0"/>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21.5</w:t>
            </w:r>
          </w:p>
        </w:tc>
        <w:tc>
          <w:tcPr>
            <w:tcW w:w="115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noWrap w:val="0"/>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bl>
    <w:p>
      <w:pPr>
        <w:tabs>
          <w:tab w:val="left" w:pos="7513"/>
        </w:tabs>
        <w:adjustRightInd w:val="0"/>
        <w:snapToGrid w:val="0"/>
        <w:spacing w:line="600" w:lineRule="exact"/>
        <w:rPr>
          <w:rFonts w:hint="eastAsia" w:ascii="仿宋" w:hAnsi="仿宋" w:eastAsia="仿宋"/>
          <w:sz w:val="32"/>
          <w:szCs w:val="32"/>
        </w:rPr>
      </w:pPr>
    </w:p>
    <w:p>
      <w:pPr>
        <w:tabs>
          <w:tab w:val="left" w:pos="7513"/>
        </w:tabs>
        <w:adjustRightInd w:val="0"/>
        <w:snapToGrid w:val="0"/>
        <w:spacing w:line="600" w:lineRule="exact"/>
        <w:rPr>
          <w:rFonts w:hint="eastAsia" w:ascii="仿宋" w:hAnsi="仿宋" w:eastAsia="仿宋"/>
          <w:sz w:val="32"/>
          <w:szCs w:val="32"/>
        </w:rPr>
        <w:sectPr>
          <w:pgSz w:w="16838" w:h="11906" w:orient="landscape"/>
          <w:pgMar w:top="567" w:right="850" w:bottom="567" w:left="850" w:header="0" w:footer="454" w:gutter="0"/>
          <w:pgNumType w:fmt="decimal"/>
          <w:cols w:space="720" w:num="1"/>
          <w:docGrid w:type="linesAndChar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b w:val="0"/>
          <w:bCs/>
        </w:rPr>
      </w:pPr>
      <w:bookmarkStart w:id="9" w:name="_Toc20560"/>
      <w:r>
        <w:rPr>
          <w:rFonts w:hint="eastAsia"/>
          <w:b w:val="0"/>
          <w:bCs/>
        </w:rPr>
        <w:t>三、支出预算总表</w:t>
      </w:r>
      <w:bookmarkEnd w:id="9"/>
    </w:p>
    <w:p>
      <w:pPr>
        <w:widowControl/>
        <w:jc w:val="center"/>
        <w:rPr>
          <w:rFonts w:hint="eastAsia" w:ascii="黑体" w:hAnsi="黑体" w:eastAsia="黑体" w:cs="黑体"/>
          <w:kern w:val="0"/>
          <w:sz w:val="32"/>
          <w:szCs w:val="32"/>
        </w:rPr>
      </w:pPr>
      <w:r>
        <w:rPr>
          <w:rFonts w:hint="eastAsia" w:ascii="方正小标宋简体" w:hAnsi="宋体" w:eastAsia="方正小标宋简体" w:cs="宋体"/>
          <w:kern w:val="0"/>
          <w:sz w:val="32"/>
          <w:szCs w:val="32"/>
          <w:lang w:eastAsia="zh-CN"/>
        </w:rPr>
        <w:t>2025</w:t>
      </w:r>
      <w:r>
        <w:rPr>
          <w:rFonts w:ascii="方正小标宋简体" w:hAnsi="方正小标宋简体" w:eastAsia="方正小标宋简体" w:cs="方正小标宋简体"/>
          <w:sz w:val="32"/>
          <w:u w:color="auto"/>
        </w:rPr>
        <w:t>年度支出预算总表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153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4275"/>
        <w:gridCol w:w="1819"/>
        <w:gridCol w:w="1700"/>
        <w:gridCol w:w="1620"/>
        <w:gridCol w:w="1681"/>
        <w:gridCol w:w="1549"/>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164" w:type="dxa"/>
            <w:noWrap w:val="0"/>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科目编码</w:t>
            </w:r>
          </w:p>
        </w:tc>
        <w:tc>
          <w:tcPr>
            <w:tcW w:w="4275" w:type="dxa"/>
            <w:noWrap w:val="0"/>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科目名称</w:t>
            </w:r>
          </w:p>
        </w:tc>
        <w:tc>
          <w:tcPr>
            <w:tcW w:w="1819" w:type="dxa"/>
            <w:noWrap w:val="0"/>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小计</w:t>
            </w:r>
          </w:p>
        </w:tc>
        <w:tc>
          <w:tcPr>
            <w:tcW w:w="1700" w:type="dxa"/>
            <w:noWrap w:val="0"/>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kern w:val="0"/>
                <w:sz w:val="22"/>
                <w:szCs w:val="22"/>
                <w:lang w:val="en-US" w:eastAsia="zh-CN" w:bidi="ar-SA"/>
              </w:rPr>
              <w:t>基本支出</w:t>
            </w:r>
          </w:p>
        </w:tc>
        <w:tc>
          <w:tcPr>
            <w:tcW w:w="1620" w:type="dxa"/>
            <w:noWrap w:val="0"/>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kern w:val="0"/>
                <w:sz w:val="22"/>
                <w:szCs w:val="22"/>
                <w:lang w:val="en-US" w:eastAsia="zh-CN" w:bidi="ar-SA"/>
              </w:rPr>
              <w:t>项目支出</w:t>
            </w:r>
          </w:p>
        </w:tc>
        <w:tc>
          <w:tcPr>
            <w:tcW w:w="1681" w:type="dxa"/>
            <w:noWrap w:val="0"/>
            <w:vAlign w:val="center"/>
          </w:tcPr>
          <w:p>
            <w:pPr>
              <w:widowControl/>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事业单位经营支出</w:t>
            </w:r>
          </w:p>
        </w:tc>
        <w:tc>
          <w:tcPr>
            <w:tcW w:w="1549" w:type="dxa"/>
            <w:noWrap w:val="0"/>
            <w:vAlign w:val="center"/>
          </w:tcPr>
          <w:p>
            <w:pPr>
              <w:widowControl/>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上缴上级支出</w:t>
            </w:r>
          </w:p>
        </w:tc>
        <w:tc>
          <w:tcPr>
            <w:tcW w:w="1543" w:type="dxa"/>
            <w:noWrap w:val="0"/>
            <w:vAlign w:val="center"/>
          </w:tcPr>
          <w:p>
            <w:pPr>
              <w:widowControl/>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39" w:type="dxa"/>
            <w:gridSpan w:val="2"/>
            <w:noWrap w:val="0"/>
            <w:vAlign w:val="center"/>
          </w:tcPr>
          <w:p>
            <w:pPr>
              <w:widowControl w:val="0"/>
              <w:jc w:val="center"/>
              <w:rPr>
                <w:rFonts w:ascii="Calibri" w:hAnsi="Calibri" w:eastAsia="宋体" w:cs="Times New Roman"/>
                <w:b/>
                <w:bCs/>
                <w:kern w:val="2"/>
                <w:sz w:val="22"/>
                <w:szCs w:val="22"/>
                <w:lang w:val="en-US" w:eastAsia="zh-CN" w:bidi="ar-SA"/>
              </w:rPr>
            </w:pPr>
            <w:r>
              <w:rPr>
                <w:rFonts w:ascii="宋体" w:hAnsi="宋体" w:eastAsia="宋体" w:cs="宋体"/>
                <w:b/>
                <w:bCs/>
                <w:color w:val="000000"/>
                <w:kern w:val="2"/>
                <w:position w:val="-1"/>
                <w:sz w:val="22"/>
                <w:szCs w:val="22"/>
                <w:lang w:val="en-US" w:eastAsia="zh-CN" w:bidi="ar-SA"/>
              </w:rPr>
              <w:t>合计</w:t>
            </w:r>
          </w:p>
        </w:tc>
        <w:tc>
          <w:tcPr>
            <w:tcW w:w="1819" w:type="dxa"/>
            <w:noWrap w:val="0"/>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297.54</w:t>
            </w:r>
          </w:p>
        </w:tc>
        <w:tc>
          <w:tcPr>
            <w:tcW w:w="1700" w:type="dxa"/>
            <w:noWrap w:val="0"/>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297.54</w:t>
            </w:r>
          </w:p>
        </w:tc>
        <w:tc>
          <w:tcPr>
            <w:tcW w:w="1620" w:type="dxa"/>
            <w:noWrap w:val="0"/>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0.00</w:t>
            </w:r>
          </w:p>
        </w:tc>
        <w:tc>
          <w:tcPr>
            <w:tcW w:w="1681" w:type="dxa"/>
            <w:noWrap w:val="0"/>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0.00</w:t>
            </w:r>
          </w:p>
        </w:tc>
        <w:tc>
          <w:tcPr>
            <w:tcW w:w="1549" w:type="dxa"/>
            <w:noWrap w:val="0"/>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0.00</w:t>
            </w:r>
          </w:p>
        </w:tc>
        <w:tc>
          <w:tcPr>
            <w:tcW w:w="1543" w:type="dxa"/>
            <w:noWrap w:val="0"/>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noWrap w:val="0"/>
            <w:vAlign w:val="center"/>
          </w:tcPr>
          <w:p>
            <w:r>
              <w:rPr>
                <w:b/>
              </w:rPr>
              <w:t>208</w:t>
            </w:r>
          </w:p>
        </w:tc>
        <w:tc>
          <w:tcPr>
            <w:tcW w:w="4275" w:type="dxa"/>
            <w:noWrap w:val="0"/>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社会保障和就业支出</w:t>
            </w:r>
          </w:p>
        </w:tc>
        <w:tc>
          <w:tcPr>
            <w:tcW w:w="1819"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27.71</w:t>
            </w:r>
          </w:p>
        </w:tc>
        <w:tc>
          <w:tcPr>
            <w:tcW w:w="170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27.71</w:t>
            </w:r>
          </w:p>
        </w:tc>
        <w:tc>
          <w:tcPr>
            <w:tcW w:w="162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noWrap w:val="0"/>
            <w:vAlign w:val="center"/>
          </w:tcPr>
          <w:p>
            <w:r>
              <w:rPr>
                <w:b/>
              </w:rPr>
              <w:t>20805</w:t>
            </w:r>
          </w:p>
        </w:tc>
        <w:tc>
          <w:tcPr>
            <w:tcW w:w="4275" w:type="dxa"/>
            <w:noWrap w:val="0"/>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行政事业单位养老支出</w:t>
            </w:r>
          </w:p>
        </w:tc>
        <w:tc>
          <w:tcPr>
            <w:tcW w:w="1819"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27.71</w:t>
            </w:r>
          </w:p>
        </w:tc>
        <w:tc>
          <w:tcPr>
            <w:tcW w:w="170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27.71</w:t>
            </w:r>
          </w:p>
        </w:tc>
        <w:tc>
          <w:tcPr>
            <w:tcW w:w="162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noWrap w:val="0"/>
            <w:vAlign w:val="center"/>
          </w:tcPr>
          <w:p>
            <w:r>
              <w:t>2080505</w:t>
            </w:r>
          </w:p>
        </w:tc>
        <w:tc>
          <w:tcPr>
            <w:tcW w:w="4275" w:type="dxa"/>
            <w:noWrap w:val="0"/>
            <w:vAlign w:val="center"/>
          </w:tcPr>
          <w:p>
            <w:pPr>
              <w:widowControl w:val="0"/>
              <w:jc w:val="both"/>
              <w:rPr>
                <w:sz w:val="18"/>
                <w:szCs w:val="18"/>
              </w:rPr>
            </w:pPr>
            <w:r>
              <w:rPr>
                <w:rFonts w:hint="eastAsia" w:ascii="宋体" w:hAnsi="宋体" w:eastAsia="宋体" w:cs="宋体"/>
                <w:color w:val="000000"/>
                <w:kern w:val="2"/>
                <w:position w:val="-1"/>
                <w:sz w:val="18"/>
                <w:szCs w:val="18"/>
                <w:lang w:val="en-US" w:eastAsia="zh-CN" w:bidi="ar-SA"/>
              </w:rPr>
              <w:t>机关事业单位基本养老保险缴费支出</w:t>
            </w:r>
          </w:p>
        </w:tc>
        <w:tc>
          <w:tcPr>
            <w:tcW w:w="1819"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27.71</w:t>
            </w:r>
          </w:p>
        </w:tc>
        <w:tc>
          <w:tcPr>
            <w:tcW w:w="170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27.71</w:t>
            </w:r>
          </w:p>
        </w:tc>
        <w:tc>
          <w:tcPr>
            <w:tcW w:w="162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noWrap w:val="0"/>
            <w:vAlign w:val="center"/>
          </w:tcPr>
          <w:p>
            <w:r>
              <w:rPr>
                <w:b/>
              </w:rPr>
              <w:t>210</w:t>
            </w:r>
          </w:p>
        </w:tc>
        <w:tc>
          <w:tcPr>
            <w:tcW w:w="4275" w:type="dxa"/>
            <w:noWrap w:val="0"/>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卫生健康支出</w:t>
            </w:r>
          </w:p>
        </w:tc>
        <w:tc>
          <w:tcPr>
            <w:tcW w:w="1819"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8.83</w:t>
            </w:r>
          </w:p>
        </w:tc>
        <w:tc>
          <w:tcPr>
            <w:tcW w:w="170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8.83</w:t>
            </w:r>
          </w:p>
        </w:tc>
        <w:tc>
          <w:tcPr>
            <w:tcW w:w="162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noWrap w:val="0"/>
            <w:vAlign w:val="center"/>
          </w:tcPr>
          <w:p>
            <w:r>
              <w:rPr>
                <w:b/>
              </w:rPr>
              <w:t>21011</w:t>
            </w:r>
          </w:p>
        </w:tc>
        <w:tc>
          <w:tcPr>
            <w:tcW w:w="4275" w:type="dxa"/>
            <w:noWrap w:val="0"/>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行政事业单位医疗</w:t>
            </w:r>
          </w:p>
        </w:tc>
        <w:tc>
          <w:tcPr>
            <w:tcW w:w="1819"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8.83</w:t>
            </w:r>
          </w:p>
        </w:tc>
        <w:tc>
          <w:tcPr>
            <w:tcW w:w="170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8.83</w:t>
            </w:r>
          </w:p>
        </w:tc>
        <w:tc>
          <w:tcPr>
            <w:tcW w:w="162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noWrap w:val="0"/>
            <w:vAlign w:val="center"/>
          </w:tcPr>
          <w:p>
            <w:r>
              <w:t>2101102</w:t>
            </w:r>
          </w:p>
        </w:tc>
        <w:tc>
          <w:tcPr>
            <w:tcW w:w="4275" w:type="dxa"/>
            <w:noWrap w:val="0"/>
            <w:vAlign w:val="center"/>
          </w:tcPr>
          <w:p>
            <w:pPr>
              <w:widowControl w:val="0"/>
              <w:jc w:val="both"/>
              <w:rPr>
                <w:sz w:val="18"/>
                <w:szCs w:val="18"/>
              </w:rPr>
            </w:pPr>
            <w:r>
              <w:rPr>
                <w:rFonts w:hint="eastAsia" w:ascii="宋体" w:hAnsi="宋体" w:eastAsia="宋体" w:cs="宋体"/>
                <w:color w:val="000000"/>
                <w:kern w:val="2"/>
                <w:position w:val="-1"/>
                <w:sz w:val="18"/>
                <w:szCs w:val="18"/>
                <w:lang w:val="en-US" w:eastAsia="zh-CN" w:bidi="ar-SA"/>
              </w:rPr>
              <w:t>事业单位医疗</w:t>
            </w:r>
          </w:p>
        </w:tc>
        <w:tc>
          <w:tcPr>
            <w:tcW w:w="1819"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8.83</w:t>
            </w:r>
          </w:p>
        </w:tc>
        <w:tc>
          <w:tcPr>
            <w:tcW w:w="170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8.83</w:t>
            </w:r>
          </w:p>
        </w:tc>
        <w:tc>
          <w:tcPr>
            <w:tcW w:w="162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noWrap w:val="0"/>
            <w:vAlign w:val="center"/>
          </w:tcPr>
          <w:p>
            <w:r>
              <w:rPr>
                <w:b/>
              </w:rPr>
              <w:t>216</w:t>
            </w:r>
          </w:p>
        </w:tc>
        <w:tc>
          <w:tcPr>
            <w:tcW w:w="4275" w:type="dxa"/>
            <w:noWrap w:val="0"/>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商业服务业等支出</w:t>
            </w:r>
          </w:p>
        </w:tc>
        <w:tc>
          <w:tcPr>
            <w:tcW w:w="1819"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239.5</w:t>
            </w:r>
          </w:p>
        </w:tc>
        <w:tc>
          <w:tcPr>
            <w:tcW w:w="170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239.5</w:t>
            </w:r>
          </w:p>
        </w:tc>
        <w:tc>
          <w:tcPr>
            <w:tcW w:w="162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noWrap w:val="0"/>
            <w:vAlign w:val="center"/>
          </w:tcPr>
          <w:p>
            <w:r>
              <w:rPr>
                <w:b/>
              </w:rPr>
              <w:t>21602</w:t>
            </w:r>
          </w:p>
        </w:tc>
        <w:tc>
          <w:tcPr>
            <w:tcW w:w="4275" w:type="dxa"/>
            <w:noWrap w:val="0"/>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商业流通事务</w:t>
            </w:r>
          </w:p>
        </w:tc>
        <w:tc>
          <w:tcPr>
            <w:tcW w:w="1819"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239.5</w:t>
            </w:r>
          </w:p>
        </w:tc>
        <w:tc>
          <w:tcPr>
            <w:tcW w:w="170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239.5</w:t>
            </w:r>
          </w:p>
        </w:tc>
        <w:tc>
          <w:tcPr>
            <w:tcW w:w="162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noWrap w:val="0"/>
            <w:vAlign w:val="center"/>
          </w:tcPr>
          <w:p>
            <w:r>
              <w:t>2160250</w:t>
            </w:r>
          </w:p>
        </w:tc>
        <w:tc>
          <w:tcPr>
            <w:tcW w:w="4275" w:type="dxa"/>
            <w:noWrap w:val="0"/>
            <w:vAlign w:val="center"/>
          </w:tcPr>
          <w:p>
            <w:pPr>
              <w:widowControl w:val="0"/>
              <w:jc w:val="both"/>
              <w:rPr>
                <w:sz w:val="18"/>
                <w:szCs w:val="18"/>
              </w:rPr>
            </w:pPr>
            <w:r>
              <w:rPr>
                <w:rFonts w:hint="eastAsia" w:ascii="宋体" w:hAnsi="宋体" w:eastAsia="宋体" w:cs="宋体"/>
                <w:color w:val="000000"/>
                <w:kern w:val="2"/>
                <w:position w:val="-1"/>
                <w:sz w:val="18"/>
                <w:szCs w:val="18"/>
                <w:lang w:val="en-US" w:eastAsia="zh-CN" w:bidi="ar-SA"/>
              </w:rPr>
              <w:t>事业运行</w:t>
            </w:r>
          </w:p>
        </w:tc>
        <w:tc>
          <w:tcPr>
            <w:tcW w:w="1819"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239.5</w:t>
            </w:r>
          </w:p>
        </w:tc>
        <w:tc>
          <w:tcPr>
            <w:tcW w:w="170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239.5</w:t>
            </w:r>
          </w:p>
        </w:tc>
        <w:tc>
          <w:tcPr>
            <w:tcW w:w="162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noWrap w:val="0"/>
            <w:vAlign w:val="center"/>
          </w:tcPr>
          <w:p>
            <w:r>
              <w:rPr>
                <w:b/>
              </w:rPr>
              <w:t>221</w:t>
            </w:r>
          </w:p>
        </w:tc>
        <w:tc>
          <w:tcPr>
            <w:tcW w:w="4275" w:type="dxa"/>
            <w:noWrap w:val="0"/>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住房保障支出</w:t>
            </w:r>
          </w:p>
        </w:tc>
        <w:tc>
          <w:tcPr>
            <w:tcW w:w="1819"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21.5</w:t>
            </w:r>
          </w:p>
        </w:tc>
        <w:tc>
          <w:tcPr>
            <w:tcW w:w="170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21.5</w:t>
            </w:r>
          </w:p>
        </w:tc>
        <w:tc>
          <w:tcPr>
            <w:tcW w:w="162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noWrap w:val="0"/>
            <w:vAlign w:val="center"/>
          </w:tcPr>
          <w:p>
            <w:r>
              <w:rPr>
                <w:b/>
              </w:rPr>
              <w:t>22102</w:t>
            </w:r>
          </w:p>
        </w:tc>
        <w:tc>
          <w:tcPr>
            <w:tcW w:w="4275" w:type="dxa"/>
            <w:noWrap w:val="0"/>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住房改革支出</w:t>
            </w:r>
          </w:p>
        </w:tc>
        <w:tc>
          <w:tcPr>
            <w:tcW w:w="1819"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21.5</w:t>
            </w:r>
          </w:p>
        </w:tc>
        <w:tc>
          <w:tcPr>
            <w:tcW w:w="170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21.5</w:t>
            </w:r>
          </w:p>
        </w:tc>
        <w:tc>
          <w:tcPr>
            <w:tcW w:w="162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noWrap w:val="0"/>
            <w:vAlign w:val="center"/>
          </w:tcPr>
          <w:p>
            <w:r>
              <w:t>2210201</w:t>
            </w:r>
          </w:p>
        </w:tc>
        <w:tc>
          <w:tcPr>
            <w:tcW w:w="4275" w:type="dxa"/>
            <w:noWrap w:val="0"/>
            <w:vAlign w:val="center"/>
          </w:tcPr>
          <w:p>
            <w:pPr>
              <w:widowControl w:val="0"/>
              <w:jc w:val="both"/>
              <w:rPr>
                <w:sz w:val="18"/>
                <w:szCs w:val="18"/>
              </w:rPr>
            </w:pPr>
            <w:r>
              <w:rPr>
                <w:rFonts w:hint="eastAsia" w:ascii="宋体" w:hAnsi="宋体" w:eastAsia="宋体" w:cs="宋体"/>
                <w:color w:val="000000"/>
                <w:kern w:val="2"/>
                <w:position w:val="-1"/>
                <w:sz w:val="18"/>
                <w:szCs w:val="18"/>
                <w:lang w:val="en-US" w:eastAsia="zh-CN" w:bidi="ar-SA"/>
              </w:rPr>
              <w:t>住房公积金</w:t>
            </w:r>
          </w:p>
        </w:tc>
        <w:tc>
          <w:tcPr>
            <w:tcW w:w="1819"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21.5</w:t>
            </w:r>
          </w:p>
        </w:tc>
        <w:tc>
          <w:tcPr>
            <w:tcW w:w="170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21.5</w:t>
            </w:r>
          </w:p>
        </w:tc>
        <w:tc>
          <w:tcPr>
            <w:tcW w:w="1620" w:type="dxa"/>
            <w:noWrap w:val="0"/>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noWrap w:val="0"/>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bl>
    <w:p>
      <w:pPr>
        <w:tabs>
          <w:tab w:val="left" w:pos="7513"/>
        </w:tabs>
        <w:adjustRightInd w:val="0"/>
        <w:snapToGrid w:val="0"/>
        <w:spacing w:line="600" w:lineRule="exact"/>
        <w:rPr>
          <w:rFonts w:hint="eastAsia" w:ascii="仿宋" w:hAnsi="仿宋" w:eastAsia="仿宋"/>
          <w:sz w:val="32"/>
          <w:szCs w:val="32"/>
          <w:lang w:val="en-US" w:eastAsia="zh-CN"/>
        </w:rPr>
      </w:pPr>
    </w:p>
    <w:p>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pgNumType w:fmt="decimal"/>
          <w:cols w:space="720" w:num="1"/>
          <w:docGrid w:type="linesAndChar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b w:val="0"/>
          <w:bCs/>
        </w:rPr>
      </w:pPr>
      <w:bookmarkStart w:id="10" w:name="_Toc3992"/>
      <w:r>
        <w:rPr>
          <w:rFonts w:hint="eastAsia"/>
          <w:b w:val="0"/>
          <w:bCs/>
        </w:rPr>
        <w:t>四、财政拨款收支预算总表</w:t>
      </w:r>
      <w:bookmarkEnd w:id="10"/>
    </w:p>
    <w:p>
      <w:pPr>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ascii="方正小标宋简体" w:hAnsi="方正小标宋简体" w:eastAsia="方正小标宋简体" w:cs="方正小标宋简体"/>
          <w:sz w:val="32"/>
          <w:u w:color="auto"/>
        </w:rPr>
        <w:t>年度财政拨款收支预算总表</w:t>
      </w:r>
    </w:p>
    <w:p>
      <w:pPr>
        <w:spacing w:line="300" w:lineRule="exact"/>
        <w:jc w:val="right"/>
        <w:rPr>
          <w:rFonts w:ascii="仿宋" w:hAnsi="仿宋" w:eastAsia="仿宋"/>
          <w:sz w:val="32"/>
          <w:szCs w:val="32"/>
        </w:rPr>
      </w:pPr>
      <w:r>
        <w:rPr>
          <w:rFonts w:hint="eastAsia" w:ascii="宋体" w:hAnsi="宋体" w:eastAsia="宋体" w:cs="宋体"/>
          <w:kern w:val="0"/>
          <w:sz w:val="22"/>
          <w:szCs w:val="24"/>
        </w:rPr>
        <w:t>单位：万元</w:t>
      </w:r>
    </w:p>
    <w:tbl>
      <w:tblPr>
        <w:tblStyle w:val="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5"/>
        <w:gridCol w:w="1267"/>
        <w:gridCol w:w="332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4242" w:type="dxa"/>
            <w:gridSpan w:val="2"/>
            <w:noWrap w:val="0"/>
            <w:vAlign w:val="center"/>
          </w:tcPr>
          <w:p>
            <w:pPr>
              <w:widowControl w:val="0"/>
              <w:tabs>
                <w:tab w:val="left" w:pos="7513"/>
              </w:tabs>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收入</w:t>
            </w:r>
          </w:p>
        </w:tc>
        <w:tc>
          <w:tcPr>
            <w:tcW w:w="4478" w:type="dxa"/>
            <w:gridSpan w:val="2"/>
            <w:noWrap w:val="0"/>
            <w:vAlign w:val="center"/>
          </w:tcPr>
          <w:p>
            <w:pPr>
              <w:widowControl w:val="0"/>
              <w:tabs>
                <w:tab w:val="left" w:pos="7513"/>
              </w:tabs>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tabs>
                <w:tab w:val="left" w:pos="7513"/>
              </w:tabs>
              <w:snapToGrid w:val="0"/>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项目</w:t>
            </w:r>
          </w:p>
        </w:tc>
        <w:tc>
          <w:tcPr>
            <w:tcW w:w="1267" w:type="dxa"/>
            <w:noWrap w:val="0"/>
            <w:vAlign w:val="center"/>
          </w:tcPr>
          <w:p>
            <w:pPr>
              <w:widowControl w:val="0"/>
              <w:tabs>
                <w:tab w:val="left" w:pos="7513"/>
              </w:tabs>
              <w:snapToGrid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SA"/>
              </w:rPr>
              <w:t>预算数</w:t>
            </w:r>
          </w:p>
        </w:tc>
        <w:tc>
          <w:tcPr>
            <w:tcW w:w="3323" w:type="dxa"/>
            <w:noWrap w:val="0"/>
            <w:vAlign w:val="center"/>
          </w:tcPr>
          <w:p>
            <w:pPr>
              <w:widowControl w:val="0"/>
              <w:tabs>
                <w:tab w:val="left" w:pos="7513"/>
              </w:tabs>
              <w:snapToGrid w:val="0"/>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项目</w:t>
            </w:r>
          </w:p>
        </w:tc>
        <w:tc>
          <w:tcPr>
            <w:tcW w:w="1155" w:type="dxa"/>
            <w:noWrap w:val="0"/>
            <w:vAlign w:val="center"/>
          </w:tcPr>
          <w:p>
            <w:pPr>
              <w:widowControl w:val="0"/>
              <w:tabs>
                <w:tab w:val="left" w:pos="7513"/>
              </w:tabs>
              <w:snapToGrid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SA"/>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一、一般公共预算拨款收入</w:t>
            </w:r>
          </w:p>
        </w:tc>
        <w:tc>
          <w:tcPr>
            <w:tcW w:w="1267" w:type="dxa"/>
            <w:noWrap w:val="0"/>
            <w:vAlign w:val="center"/>
          </w:tcPr>
          <w:p>
            <w:pPr>
              <w:widowControl w:val="0"/>
              <w:jc w:val="right"/>
              <w:rPr>
                <w:sz w:val="18"/>
                <w:szCs w:val="18"/>
              </w:rPr>
            </w:pPr>
            <w:r>
              <w:rPr>
                <w:rFonts w:hint="eastAsia" w:ascii="宋体" w:hAnsi="宋体" w:eastAsia="宋体" w:cs="宋体"/>
                <w:kern w:val="2"/>
                <w:position w:val="-1"/>
                <w:sz w:val="18"/>
                <w:szCs w:val="18"/>
                <w:lang w:val="en-US" w:eastAsia="zh-CN" w:bidi="ar-SA"/>
              </w:rPr>
              <w:t>297.54</w:t>
            </w: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一、一般公共服务支出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二、政府性基金预算拨款收入</w:t>
            </w: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二、外交支出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三、国有资本经营预算拨款收入</w:t>
            </w: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三、国防支出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四、公共安全支出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五、教育支出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六、科学技术支出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七、文化旅游体育与传媒支出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八、社会保障和就业支出</w:t>
            </w:r>
          </w:p>
        </w:tc>
        <w:tc>
          <w:tcPr>
            <w:tcW w:w="1155" w:type="dxa"/>
            <w:noWrap w:val="0"/>
            <w:vAlign w:val="center"/>
          </w:tcPr>
          <w:p>
            <w:pPr>
              <w:widowControl w:val="0"/>
              <w:jc w:val="right"/>
              <w:rPr>
                <w:sz w:val="18"/>
                <w:szCs w:val="18"/>
              </w:rPr>
            </w:pPr>
            <w:r>
              <w:rPr>
                <w:rFonts w:hint="eastAsia" w:ascii="宋体" w:hAnsi="宋体" w:eastAsia="宋体" w:cs="宋体"/>
                <w:kern w:val="2"/>
                <w:position w:val="-1"/>
                <w:sz w:val="18"/>
                <w:szCs w:val="18"/>
                <w:lang w:val="en-US" w:eastAsia="zh-CN" w:bidi="ar-SA"/>
              </w:rPr>
              <w:t>27.71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九、卫生健康支出</w:t>
            </w:r>
          </w:p>
        </w:tc>
        <w:tc>
          <w:tcPr>
            <w:tcW w:w="1155" w:type="dxa"/>
            <w:noWrap w:val="0"/>
            <w:vAlign w:val="center"/>
          </w:tcPr>
          <w:p>
            <w:pPr>
              <w:widowControl w:val="0"/>
              <w:jc w:val="right"/>
              <w:rPr>
                <w:sz w:val="18"/>
                <w:szCs w:val="18"/>
              </w:rPr>
            </w:pPr>
            <w:r>
              <w:rPr>
                <w:rFonts w:hint="eastAsia" w:ascii="宋体" w:hAnsi="宋体" w:eastAsia="宋体" w:cs="宋体"/>
                <w:kern w:val="2"/>
                <w:position w:val="-1"/>
                <w:sz w:val="18"/>
                <w:szCs w:val="18"/>
                <w:lang w:val="en-US" w:eastAsia="zh-CN" w:bidi="ar-SA"/>
              </w:rPr>
              <w:t>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十、节能环保支出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十一、城乡社区支出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十二、农林水支出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十三、交通运输支出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十四、资源勘探工业信息等支出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十五、商业服务业等支出</w:t>
            </w:r>
          </w:p>
        </w:tc>
        <w:tc>
          <w:tcPr>
            <w:tcW w:w="1155" w:type="dxa"/>
            <w:noWrap w:val="0"/>
            <w:vAlign w:val="center"/>
          </w:tcPr>
          <w:p>
            <w:pPr>
              <w:widowControl w:val="0"/>
              <w:jc w:val="right"/>
              <w:rPr>
                <w:sz w:val="18"/>
                <w:szCs w:val="18"/>
              </w:rPr>
            </w:pPr>
            <w:r>
              <w:rPr>
                <w:rFonts w:hint="eastAsia" w:ascii="宋体" w:hAnsi="宋体" w:eastAsia="宋体" w:cs="宋体"/>
                <w:kern w:val="2"/>
                <w:position w:val="-1"/>
                <w:sz w:val="18"/>
                <w:szCs w:val="18"/>
                <w:lang w:val="en-US" w:eastAsia="zh-CN" w:bidi="ar-SA"/>
              </w:rPr>
              <w:t>239.5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十六、金融支出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十七、援助其他地区支出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十八、自然资源海洋气象等支出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十九、住房保障支出</w:t>
            </w:r>
          </w:p>
        </w:tc>
        <w:tc>
          <w:tcPr>
            <w:tcW w:w="1155" w:type="dxa"/>
            <w:noWrap w:val="0"/>
            <w:vAlign w:val="center"/>
          </w:tcPr>
          <w:p>
            <w:pPr>
              <w:widowControl w:val="0"/>
              <w:jc w:val="right"/>
              <w:rPr>
                <w:sz w:val="18"/>
                <w:szCs w:val="18"/>
              </w:rPr>
            </w:pPr>
            <w:r>
              <w:rPr>
                <w:rFonts w:hint="eastAsia" w:ascii="宋体" w:hAnsi="宋体" w:eastAsia="宋体" w:cs="宋体"/>
                <w:kern w:val="2"/>
                <w:position w:val="-1"/>
                <w:sz w:val="18"/>
                <w:szCs w:val="18"/>
                <w:lang w:val="en-US" w:eastAsia="zh-CN" w:bidi="ar-SA"/>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二十、粮油物资储备支出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二十一、国有资本经营预算支出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二十二、灾害防治及应急管理支出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二十三、其他支出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二十四、债务还本支出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二十五、债务付息支出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noWrap w:val="0"/>
            <w:vAlign w:val="center"/>
          </w:tcPr>
          <w:p>
            <w:pPr>
              <w:widowControl w:val="0"/>
              <w:jc w:val="right"/>
              <w:rPr>
                <w:sz w:val="18"/>
                <w:szCs w:val="18"/>
              </w:rPr>
            </w:pPr>
          </w:p>
        </w:tc>
        <w:tc>
          <w:tcPr>
            <w:tcW w:w="3323" w:type="dxa"/>
            <w:noWrap w:val="0"/>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二十六、债务发行费用支出</w:t>
            </w:r>
          </w:p>
        </w:tc>
        <w:tc>
          <w:tcPr>
            <w:tcW w:w="1155" w:type="dxa"/>
            <w:noWrap w:val="0"/>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noWrap w:val="0"/>
            <w:vAlign w:val="center"/>
          </w:tcPr>
          <w:p>
            <w:pPr>
              <w:widowControl w:val="0"/>
              <w:jc w:val="center"/>
              <w:rPr>
                <w:rFonts w:hint="default" w:ascii="Calibri" w:hAnsi="Calibri" w:eastAsia="宋体" w:cs="Times New Roman"/>
                <w:b/>
                <w:bCs w:val="0"/>
                <w:kern w:val="2"/>
                <w:sz w:val="22"/>
                <w:szCs w:val="22"/>
                <w:lang w:val="en-US" w:eastAsia="zh-CN" w:bidi="ar-SA"/>
              </w:rPr>
            </w:pPr>
            <w:r>
              <w:rPr>
                <w:rFonts w:ascii="宋体" w:hAnsi="宋体" w:eastAsia="宋体" w:cs="宋体"/>
                <w:b/>
                <w:bCs w:val="0"/>
                <w:kern w:val="2"/>
                <w:position w:val="-1"/>
                <w:sz w:val="22"/>
                <w:szCs w:val="22"/>
                <w:lang w:val="en-US" w:eastAsia="zh-CN" w:bidi="ar-SA"/>
              </w:rPr>
              <w:t>收入合计</w:t>
            </w:r>
          </w:p>
        </w:tc>
        <w:tc>
          <w:tcPr>
            <w:tcW w:w="1267" w:type="dxa"/>
            <w:noWrap w:val="0"/>
            <w:vAlign w:val="center"/>
          </w:tcPr>
          <w:p>
            <w:pPr>
              <w:widowControl w:val="0"/>
              <w:jc w:val="right"/>
              <w:rPr>
                <w:b/>
                <w:bCs w:val="0"/>
                <w:sz w:val="22"/>
                <w:szCs w:val="22"/>
              </w:rPr>
            </w:pPr>
            <w:r>
              <w:rPr>
                <w:rFonts w:hint="eastAsia" w:ascii="宋体" w:hAnsi="宋体" w:eastAsia="宋体" w:cs="宋体"/>
                <w:b/>
                <w:bCs w:val="0"/>
                <w:kern w:val="2"/>
                <w:position w:val="-1"/>
                <w:sz w:val="22"/>
                <w:szCs w:val="22"/>
                <w:lang w:val="en-US" w:eastAsia="zh-CN" w:bidi="ar-SA"/>
              </w:rPr>
              <w:t>297.54</w:t>
            </w:r>
          </w:p>
        </w:tc>
        <w:tc>
          <w:tcPr>
            <w:tcW w:w="3323" w:type="dxa"/>
            <w:noWrap w:val="0"/>
            <w:vAlign w:val="center"/>
          </w:tcPr>
          <w:p>
            <w:pPr>
              <w:widowControl w:val="0"/>
              <w:jc w:val="center"/>
              <w:rPr>
                <w:rFonts w:hint="default" w:ascii="Calibri" w:hAnsi="Calibri" w:eastAsia="宋体" w:cs="Times New Roman"/>
                <w:b/>
                <w:bCs w:val="0"/>
                <w:kern w:val="2"/>
                <w:sz w:val="22"/>
                <w:szCs w:val="22"/>
                <w:lang w:val="en-US" w:eastAsia="zh-CN" w:bidi="ar-SA"/>
              </w:rPr>
            </w:pPr>
            <w:r>
              <w:rPr>
                <w:rFonts w:ascii="宋体" w:hAnsi="宋体" w:eastAsia="宋体" w:cs="宋体"/>
                <w:b/>
                <w:bCs w:val="0"/>
                <w:kern w:val="2"/>
                <w:position w:val="-1"/>
                <w:sz w:val="22"/>
                <w:szCs w:val="22"/>
                <w:lang w:val="en-US" w:eastAsia="zh-CN" w:bidi="ar-SA"/>
              </w:rPr>
              <w:t>支出合计</w:t>
            </w:r>
          </w:p>
        </w:tc>
        <w:tc>
          <w:tcPr>
            <w:tcW w:w="1155" w:type="dxa"/>
            <w:noWrap w:val="0"/>
            <w:vAlign w:val="center"/>
          </w:tcPr>
          <w:p>
            <w:pPr>
              <w:widowControl w:val="0"/>
              <w:jc w:val="right"/>
              <w:rPr>
                <w:b/>
                <w:bCs w:val="0"/>
                <w:sz w:val="22"/>
                <w:szCs w:val="22"/>
              </w:rPr>
            </w:pPr>
            <w:r>
              <w:rPr>
                <w:rFonts w:hint="eastAsia" w:ascii="宋体" w:hAnsi="宋体" w:eastAsia="宋体" w:cs="宋体"/>
                <w:b/>
                <w:bCs w:val="0"/>
                <w:kern w:val="2"/>
                <w:position w:val="-1"/>
                <w:sz w:val="22"/>
                <w:szCs w:val="22"/>
                <w:lang w:val="en-US" w:eastAsia="zh-CN" w:bidi="ar-SA"/>
              </w:rPr>
              <w:t>297.54</w:t>
            </w:r>
          </w:p>
        </w:tc>
      </w:tr>
    </w:tbl>
    <w:p>
      <w:pPr>
        <w:spacing w:line="600" w:lineRule="exact"/>
        <w:jc w:val="both"/>
        <w:rPr>
          <w:rFonts w:ascii="仿宋" w:hAnsi="仿宋" w:eastAsia="仿宋"/>
          <w:sz w:val="32"/>
          <w:szCs w:val="32"/>
        </w:rPr>
      </w:pPr>
    </w:p>
    <w:p>
      <w:pPr>
        <w:tabs>
          <w:tab w:val="left" w:pos="7513"/>
        </w:tabs>
        <w:adjustRightInd w:val="0"/>
        <w:snapToGrid w:val="0"/>
        <w:spacing w:line="600" w:lineRule="exact"/>
        <w:rPr>
          <w:rFonts w:ascii="仿宋" w:hAnsi="仿宋" w:eastAsia="仿宋"/>
          <w:sz w:val="32"/>
          <w:szCs w:val="32"/>
        </w:rPr>
        <w:sectPr>
          <w:pgSz w:w="11906" w:h="16838"/>
          <w:pgMar w:top="1440" w:right="1701" w:bottom="1440" w:left="1701" w:header="851" w:footer="992" w:gutter="0"/>
          <w:pgNumType w:fmt="decimal"/>
          <w:cols w:space="720" w:num="1"/>
          <w:docGrid w:type="linesAndChar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b w:val="0"/>
          <w:bCs/>
        </w:rPr>
      </w:pPr>
      <w:bookmarkStart w:id="11" w:name="_Toc10342"/>
      <w:r>
        <w:rPr>
          <w:rFonts w:hint="eastAsia"/>
          <w:b w:val="0"/>
          <w:bCs/>
        </w:rPr>
        <w:t>五、一般公共预算拨款支出预算表</w:t>
      </w:r>
      <w:bookmarkEnd w:id="11"/>
    </w:p>
    <w:p>
      <w:pPr>
        <w:tabs>
          <w:tab w:val="left" w:pos="7513"/>
        </w:tabs>
        <w:adjustRightInd w:val="0"/>
        <w:snapToGrid w:val="0"/>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ascii="方正小标宋简体" w:hAnsi="方正小标宋简体" w:eastAsia="方正小标宋简体" w:cs="方正小标宋简体"/>
          <w:sz w:val="32"/>
          <w:u w:color="auto"/>
        </w:rPr>
        <w:t>年度一般公共预算拨款支出预算表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876"/>
        <w:gridCol w:w="1467"/>
        <w:gridCol w:w="1457"/>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135" w:type="dxa"/>
            <w:vMerge w:val="restart"/>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科目编码</w:t>
            </w:r>
          </w:p>
        </w:tc>
        <w:tc>
          <w:tcPr>
            <w:tcW w:w="3876" w:type="dxa"/>
            <w:vMerge w:val="restart"/>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科目名称</w:t>
            </w:r>
          </w:p>
        </w:tc>
        <w:tc>
          <w:tcPr>
            <w:tcW w:w="1467" w:type="dxa"/>
            <w:vMerge w:val="restart"/>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小计</w:t>
            </w:r>
          </w:p>
        </w:tc>
        <w:tc>
          <w:tcPr>
            <w:tcW w:w="2810" w:type="dxa"/>
            <w:gridSpan w:val="2"/>
            <w:noWrap w:val="0"/>
            <w:vAlign w:val="center"/>
          </w:tcPr>
          <w:p>
            <w:pPr>
              <w:widowControl w:val="0"/>
              <w:tabs>
                <w:tab w:val="left" w:pos="7513"/>
              </w:tabs>
              <w:adjustRightInd w:val="0"/>
              <w:snapToGrid w:val="0"/>
              <w:spacing w:line="240" w:lineRule="auto"/>
              <w:jc w:val="left"/>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135" w:type="dxa"/>
            <w:vMerge w:val="continue"/>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3876" w:type="dxa"/>
            <w:vMerge w:val="continue"/>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1467" w:type="dxa"/>
            <w:vMerge w:val="continue"/>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1457" w:type="dxa"/>
            <w:noWrap w:val="0"/>
            <w:vAlign w:val="center"/>
          </w:tcPr>
          <w:p>
            <w:pPr>
              <w:widowControl w:val="0"/>
              <w:tabs>
                <w:tab w:val="left" w:pos="7513"/>
              </w:tabs>
              <w:adjustRightInd w:val="0"/>
              <w:snapToGrid w:val="0"/>
              <w:spacing w:line="240" w:lineRule="auto"/>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基本支出</w:t>
            </w:r>
          </w:p>
        </w:tc>
        <w:tc>
          <w:tcPr>
            <w:tcW w:w="1353" w:type="dxa"/>
            <w:noWrap w:val="0"/>
            <w:vAlign w:val="center"/>
          </w:tcPr>
          <w:p>
            <w:pPr>
              <w:widowControl w:val="0"/>
              <w:tabs>
                <w:tab w:val="left" w:pos="7513"/>
              </w:tabs>
              <w:adjustRightInd w:val="0"/>
              <w:snapToGrid w:val="0"/>
              <w:spacing w:line="240" w:lineRule="auto"/>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011" w:type="dxa"/>
            <w:gridSpan w:val="2"/>
            <w:noWrap w:val="0"/>
            <w:vAlign w:val="center"/>
          </w:tcPr>
          <w:p>
            <w:pPr>
              <w:widowControl w:val="0"/>
              <w:jc w:val="center"/>
              <w:rPr>
                <w:rFonts w:ascii="宋体" w:hAnsi="宋体" w:eastAsia="宋体" w:cs="宋体"/>
                <w:b/>
                <w:bCs/>
                <w:i w:val="0"/>
                <w:strike w:val="0"/>
                <w:color w:val="auto"/>
                <w:kern w:val="2"/>
                <w:position w:val="-1"/>
                <w:sz w:val="22"/>
                <w:szCs w:val="22"/>
                <w:u w:val="none"/>
                <w:lang w:val="en-US" w:eastAsia="zh-CN" w:bidi="ar-SA"/>
              </w:rPr>
            </w:pPr>
            <w:r>
              <w:rPr>
                <w:rFonts w:ascii="宋体" w:hAnsi="宋体" w:eastAsia="宋体" w:cs="宋体"/>
                <w:b/>
                <w:bCs/>
                <w:kern w:val="2"/>
                <w:position w:val="-1"/>
                <w:sz w:val="22"/>
                <w:szCs w:val="22"/>
                <w:lang w:val="en-US" w:eastAsia="zh-CN" w:bidi="ar-SA"/>
              </w:rPr>
              <w:t>合计</w:t>
            </w:r>
          </w:p>
        </w:tc>
        <w:tc>
          <w:tcPr>
            <w:tcW w:w="1467" w:type="dxa"/>
            <w:noWrap w:val="0"/>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297.54</w:t>
            </w:r>
          </w:p>
        </w:tc>
        <w:tc>
          <w:tcPr>
            <w:tcW w:w="1457" w:type="dxa"/>
            <w:noWrap w:val="0"/>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297.54</w:t>
            </w:r>
          </w:p>
        </w:tc>
        <w:tc>
          <w:tcPr>
            <w:tcW w:w="1353" w:type="dxa"/>
            <w:noWrap w:val="0"/>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noWrap w:val="0"/>
            <w:vAlign w:val="center"/>
          </w:tcPr>
          <w:p>
            <w:r>
              <w:rPr>
                <w:b/>
              </w:rPr>
              <w:t>208</w:t>
            </w:r>
          </w:p>
        </w:tc>
        <w:tc>
          <w:tcPr>
            <w:tcW w:w="3876"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社会保障和就业支出</w:t>
            </w:r>
          </w:p>
        </w:tc>
        <w:tc>
          <w:tcPr>
            <w:tcW w:w="146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27.71</w:t>
            </w:r>
          </w:p>
        </w:tc>
        <w:tc>
          <w:tcPr>
            <w:tcW w:w="145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27.71</w:t>
            </w:r>
          </w:p>
        </w:tc>
        <w:tc>
          <w:tcPr>
            <w:tcW w:w="135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noWrap w:val="0"/>
            <w:vAlign w:val="center"/>
          </w:tcPr>
          <w:p>
            <w:r>
              <w:rPr>
                <w:b/>
              </w:rPr>
              <w:t>20805</w:t>
            </w:r>
          </w:p>
        </w:tc>
        <w:tc>
          <w:tcPr>
            <w:tcW w:w="3876"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行政事业单位养老支出</w:t>
            </w:r>
          </w:p>
        </w:tc>
        <w:tc>
          <w:tcPr>
            <w:tcW w:w="146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27.71</w:t>
            </w:r>
          </w:p>
        </w:tc>
        <w:tc>
          <w:tcPr>
            <w:tcW w:w="145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27.71</w:t>
            </w:r>
          </w:p>
        </w:tc>
        <w:tc>
          <w:tcPr>
            <w:tcW w:w="135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noWrap w:val="0"/>
            <w:vAlign w:val="center"/>
          </w:tcPr>
          <w:p>
            <w:r>
              <w:t>2080505</w:t>
            </w:r>
          </w:p>
        </w:tc>
        <w:tc>
          <w:tcPr>
            <w:tcW w:w="3876"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机关事业单位基本养老保险缴费支出</w:t>
            </w:r>
          </w:p>
        </w:tc>
        <w:tc>
          <w:tcPr>
            <w:tcW w:w="146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27.71</w:t>
            </w:r>
          </w:p>
        </w:tc>
        <w:tc>
          <w:tcPr>
            <w:tcW w:w="145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27.71</w:t>
            </w:r>
          </w:p>
        </w:tc>
        <w:tc>
          <w:tcPr>
            <w:tcW w:w="135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noWrap w:val="0"/>
            <w:vAlign w:val="center"/>
          </w:tcPr>
          <w:p>
            <w:r>
              <w:rPr>
                <w:b/>
              </w:rPr>
              <w:t>210</w:t>
            </w:r>
          </w:p>
        </w:tc>
        <w:tc>
          <w:tcPr>
            <w:tcW w:w="3876"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卫生健康支出</w:t>
            </w:r>
          </w:p>
        </w:tc>
        <w:tc>
          <w:tcPr>
            <w:tcW w:w="146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8.83</w:t>
            </w:r>
          </w:p>
        </w:tc>
        <w:tc>
          <w:tcPr>
            <w:tcW w:w="145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8.83</w:t>
            </w:r>
          </w:p>
        </w:tc>
        <w:tc>
          <w:tcPr>
            <w:tcW w:w="135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noWrap w:val="0"/>
            <w:vAlign w:val="center"/>
          </w:tcPr>
          <w:p>
            <w:r>
              <w:rPr>
                <w:b/>
              </w:rPr>
              <w:t>21011</w:t>
            </w:r>
          </w:p>
        </w:tc>
        <w:tc>
          <w:tcPr>
            <w:tcW w:w="3876"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行政事业单位医疗</w:t>
            </w:r>
          </w:p>
        </w:tc>
        <w:tc>
          <w:tcPr>
            <w:tcW w:w="146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8.83</w:t>
            </w:r>
          </w:p>
        </w:tc>
        <w:tc>
          <w:tcPr>
            <w:tcW w:w="145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8.83</w:t>
            </w:r>
          </w:p>
        </w:tc>
        <w:tc>
          <w:tcPr>
            <w:tcW w:w="135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noWrap w:val="0"/>
            <w:vAlign w:val="center"/>
          </w:tcPr>
          <w:p>
            <w:r>
              <w:t>2101102</w:t>
            </w:r>
          </w:p>
        </w:tc>
        <w:tc>
          <w:tcPr>
            <w:tcW w:w="3876"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事业单位医疗</w:t>
            </w:r>
          </w:p>
        </w:tc>
        <w:tc>
          <w:tcPr>
            <w:tcW w:w="146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8.83</w:t>
            </w:r>
          </w:p>
        </w:tc>
        <w:tc>
          <w:tcPr>
            <w:tcW w:w="145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8.83</w:t>
            </w:r>
          </w:p>
        </w:tc>
        <w:tc>
          <w:tcPr>
            <w:tcW w:w="135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noWrap w:val="0"/>
            <w:vAlign w:val="center"/>
          </w:tcPr>
          <w:p>
            <w:r>
              <w:rPr>
                <w:b/>
              </w:rPr>
              <w:t>216</w:t>
            </w:r>
          </w:p>
        </w:tc>
        <w:tc>
          <w:tcPr>
            <w:tcW w:w="3876"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商业服务业等支出</w:t>
            </w:r>
          </w:p>
        </w:tc>
        <w:tc>
          <w:tcPr>
            <w:tcW w:w="146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239.5</w:t>
            </w:r>
          </w:p>
        </w:tc>
        <w:tc>
          <w:tcPr>
            <w:tcW w:w="145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239.5</w:t>
            </w:r>
          </w:p>
        </w:tc>
        <w:tc>
          <w:tcPr>
            <w:tcW w:w="135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noWrap w:val="0"/>
            <w:vAlign w:val="center"/>
          </w:tcPr>
          <w:p>
            <w:r>
              <w:rPr>
                <w:b/>
              </w:rPr>
              <w:t>21602</w:t>
            </w:r>
          </w:p>
        </w:tc>
        <w:tc>
          <w:tcPr>
            <w:tcW w:w="3876"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商业流通事务</w:t>
            </w:r>
          </w:p>
        </w:tc>
        <w:tc>
          <w:tcPr>
            <w:tcW w:w="146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239.5</w:t>
            </w:r>
          </w:p>
        </w:tc>
        <w:tc>
          <w:tcPr>
            <w:tcW w:w="145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239.5</w:t>
            </w:r>
          </w:p>
        </w:tc>
        <w:tc>
          <w:tcPr>
            <w:tcW w:w="135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noWrap w:val="0"/>
            <w:vAlign w:val="center"/>
          </w:tcPr>
          <w:p>
            <w:r>
              <w:t>2160250</w:t>
            </w:r>
          </w:p>
        </w:tc>
        <w:tc>
          <w:tcPr>
            <w:tcW w:w="3876"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事业运行</w:t>
            </w:r>
          </w:p>
        </w:tc>
        <w:tc>
          <w:tcPr>
            <w:tcW w:w="146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239.5</w:t>
            </w:r>
          </w:p>
        </w:tc>
        <w:tc>
          <w:tcPr>
            <w:tcW w:w="145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239.5</w:t>
            </w:r>
          </w:p>
        </w:tc>
        <w:tc>
          <w:tcPr>
            <w:tcW w:w="135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noWrap w:val="0"/>
            <w:vAlign w:val="center"/>
          </w:tcPr>
          <w:p>
            <w:r>
              <w:rPr>
                <w:b/>
              </w:rPr>
              <w:t>221</w:t>
            </w:r>
          </w:p>
        </w:tc>
        <w:tc>
          <w:tcPr>
            <w:tcW w:w="3876"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住房保障支出</w:t>
            </w:r>
          </w:p>
        </w:tc>
        <w:tc>
          <w:tcPr>
            <w:tcW w:w="146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21.5</w:t>
            </w:r>
          </w:p>
        </w:tc>
        <w:tc>
          <w:tcPr>
            <w:tcW w:w="145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21.5</w:t>
            </w:r>
          </w:p>
        </w:tc>
        <w:tc>
          <w:tcPr>
            <w:tcW w:w="135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noWrap w:val="0"/>
            <w:vAlign w:val="center"/>
          </w:tcPr>
          <w:p>
            <w:r>
              <w:rPr>
                <w:b/>
              </w:rPr>
              <w:t>22102</w:t>
            </w:r>
          </w:p>
        </w:tc>
        <w:tc>
          <w:tcPr>
            <w:tcW w:w="3876"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住房改革支出</w:t>
            </w:r>
          </w:p>
        </w:tc>
        <w:tc>
          <w:tcPr>
            <w:tcW w:w="146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21.5</w:t>
            </w:r>
          </w:p>
        </w:tc>
        <w:tc>
          <w:tcPr>
            <w:tcW w:w="145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21.5</w:t>
            </w:r>
          </w:p>
        </w:tc>
        <w:tc>
          <w:tcPr>
            <w:tcW w:w="135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noWrap w:val="0"/>
            <w:vAlign w:val="center"/>
          </w:tcPr>
          <w:p>
            <w:r>
              <w:t>2210201</w:t>
            </w:r>
          </w:p>
        </w:tc>
        <w:tc>
          <w:tcPr>
            <w:tcW w:w="3876" w:type="dxa"/>
            <w:noWrap w:val="0"/>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住房公积金</w:t>
            </w:r>
          </w:p>
        </w:tc>
        <w:tc>
          <w:tcPr>
            <w:tcW w:w="146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21.5</w:t>
            </w:r>
          </w:p>
        </w:tc>
        <w:tc>
          <w:tcPr>
            <w:tcW w:w="1457"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21.5</w:t>
            </w:r>
          </w:p>
        </w:tc>
        <w:tc>
          <w:tcPr>
            <w:tcW w:w="1353" w:type="dxa"/>
            <w:noWrap w:val="0"/>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bl>
    <w:p>
      <w:pPr>
        <w:tabs>
          <w:tab w:val="left" w:pos="7513"/>
        </w:tabs>
        <w:adjustRightInd w:val="0"/>
        <w:snapToGrid w:val="0"/>
        <w:spacing w:line="600" w:lineRule="exact"/>
        <w:jc w:val="left"/>
        <w:rPr>
          <w:rFonts w:hint="default" w:ascii="仿宋" w:hAnsi="仿宋" w:eastAsia="仿宋" w:cs="仿宋"/>
          <w:sz w:val="32"/>
          <w:lang w:val="en-US" w:eastAsia="zh-CN"/>
        </w:rPr>
      </w:pPr>
    </w:p>
    <w:p>
      <w:pPr>
        <w:spacing w:line="600" w:lineRule="exact"/>
        <w:jc w:val="center"/>
        <w:rPr>
          <w:rFonts w:ascii="仿宋" w:hAnsi="仿宋" w:eastAsia="仿宋"/>
          <w:sz w:val="32"/>
          <w:szCs w:val="32"/>
        </w:rPr>
        <w:sectPr>
          <w:pgSz w:w="11906" w:h="16838"/>
          <w:pgMar w:top="1134" w:right="1417" w:bottom="1134" w:left="1417" w:header="851" w:footer="992" w:gutter="0"/>
          <w:pgNumType w:fmt="decimal"/>
          <w:cols w:space="720" w:num="1"/>
          <w:docGrid w:type="linesAndChar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b w:val="0"/>
          <w:bCs/>
        </w:rPr>
      </w:pPr>
      <w:bookmarkStart w:id="12" w:name="_Toc23864"/>
      <w:r>
        <w:rPr>
          <w:rFonts w:hint="eastAsia"/>
          <w:b w:val="0"/>
          <w:bCs/>
        </w:rPr>
        <w:t>六、政府性基金预算拨款支出预算表</w:t>
      </w:r>
      <w:bookmarkEnd w:id="12"/>
    </w:p>
    <w:p>
      <w:pPr>
        <w:tabs>
          <w:tab w:val="left" w:pos="7513"/>
        </w:tabs>
        <w:adjustRightInd w:val="0"/>
        <w:snapToGrid w:val="0"/>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ascii="方正小标宋简体" w:hAnsi="方正小标宋简体" w:eastAsia="方正小标宋简体" w:cs="方正小标宋简体"/>
          <w:sz w:val="32"/>
          <w:u w:color="auto"/>
        </w:rPr>
        <w:t>年度政府性基金预算拨款支出预算表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399"/>
        <w:gridCol w:w="1287"/>
        <w:gridCol w:w="1540"/>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2398" w:type="dxa"/>
            <w:vMerge w:val="restart"/>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科目编码</w:t>
            </w:r>
          </w:p>
        </w:tc>
        <w:tc>
          <w:tcPr>
            <w:tcW w:w="2399" w:type="dxa"/>
            <w:vMerge w:val="restart"/>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科目名称</w:t>
            </w:r>
          </w:p>
        </w:tc>
        <w:tc>
          <w:tcPr>
            <w:tcW w:w="1287" w:type="dxa"/>
            <w:vMerge w:val="restart"/>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小计</w:t>
            </w:r>
          </w:p>
        </w:tc>
        <w:tc>
          <w:tcPr>
            <w:tcW w:w="3204" w:type="dxa"/>
            <w:gridSpan w:val="2"/>
            <w:noWrap w:val="0"/>
            <w:vAlign w:val="center"/>
          </w:tcPr>
          <w:p>
            <w:pPr>
              <w:widowControl w:val="0"/>
              <w:tabs>
                <w:tab w:val="left" w:pos="7513"/>
              </w:tabs>
              <w:adjustRightInd w:val="0"/>
              <w:snapToGrid w:val="0"/>
              <w:spacing w:line="240" w:lineRule="auto"/>
              <w:jc w:val="left"/>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2398" w:type="dxa"/>
            <w:vMerge w:val="continue"/>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2399" w:type="dxa"/>
            <w:vMerge w:val="continue"/>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1287" w:type="dxa"/>
            <w:vMerge w:val="continue"/>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1540" w:type="dxa"/>
            <w:noWrap w:val="0"/>
            <w:vAlign w:val="center"/>
          </w:tcPr>
          <w:p>
            <w:pPr>
              <w:widowControl w:val="0"/>
              <w:tabs>
                <w:tab w:val="left" w:pos="7513"/>
              </w:tabs>
              <w:adjustRightInd w:val="0"/>
              <w:snapToGrid w:val="0"/>
              <w:spacing w:line="240" w:lineRule="auto"/>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基本支出</w:t>
            </w:r>
          </w:p>
        </w:tc>
        <w:tc>
          <w:tcPr>
            <w:tcW w:w="1664" w:type="dxa"/>
            <w:noWrap w:val="0"/>
            <w:vAlign w:val="center"/>
          </w:tcPr>
          <w:p>
            <w:pPr>
              <w:widowControl w:val="0"/>
              <w:tabs>
                <w:tab w:val="left" w:pos="7513"/>
              </w:tabs>
              <w:adjustRightInd w:val="0"/>
              <w:snapToGrid w:val="0"/>
              <w:spacing w:line="240" w:lineRule="auto"/>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797" w:type="dxa"/>
            <w:gridSpan w:val="2"/>
            <w:noWrap w:val="0"/>
            <w:vAlign w:val="center"/>
          </w:tcPr>
          <w:p>
            <w:pPr>
              <w:widowControl w:val="0"/>
              <w:jc w:val="center"/>
              <w:rPr>
                <w:rFonts w:hint="eastAsia" w:ascii="宋体" w:hAnsi="宋体" w:eastAsia="宋体" w:cs="宋体"/>
                <w:b/>
                <w:bCs/>
                <w:i w:val="0"/>
                <w:strike w:val="0"/>
                <w:color w:val="auto"/>
                <w:kern w:val="2"/>
                <w:position w:val="-1"/>
                <w:sz w:val="22"/>
                <w:szCs w:val="22"/>
                <w:u w:val="none"/>
                <w:lang w:val="en-US" w:eastAsia="zh-CN" w:bidi="ar-SA"/>
              </w:rPr>
            </w:pPr>
            <w:r>
              <w:rPr>
                <w:rFonts w:ascii="宋体" w:hAnsi="宋体" w:eastAsia="宋体" w:cs="宋体"/>
                <w:b/>
                <w:bCs/>
                <w:kern w:val="2"/>
                <w:sz w:val="22"/>
                <w:szCs w:val="22"/>
                <w:u w:val="none" w:color="auto"/>
                <w:lang w:val="en-US" w:eastAsia="zh-CN" w:bidi="ar-SA"/>
              </w:rPr>
              <w:t>合计</w:t>
            </w:r>
          </w:p>
        </w:tc>
        <w:tc>
          <w:tcPr>
            <w:tcW w:w="1287" w:type="dxa"/>
            <w:noWrap w:val="0"/>
            <w:vAlign w:val="center"/>
          </w:tcPr>
          <w:p>
            <w:pPr>
              <w:widowControl w:val="0"/>
              <w:jc w:val="right"/>
              <w:rPr>
                <w:rFonts w:hint="eastAsia"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0.00</w:t>
            </w:r>
          </w:p>
        </w:tc>
        <w:tc>
          <w:tcPr>
            <w:tcW w:w="1540" w:type="dxa"/>
            <w:noWrap w:val="0"/>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default" w:ascii="宋体" w:hAnsi="宋体" w:eastAsia="宋体" w:cs="宋体"/>
                <w:b/>
                <w:bCs/>
                <w:kern w:val="2"/>
                <w:position w:val="-1"/>
                <w:sz w:val="22"/>
                <w:szCs w:val="22"/>
                <w:lang w:val="en-US" w:eastAsia="zh-CN" w:bidi="ar-SA"/>
              </w:rPr>
              <w:t>0.00</w:t>
            </w:r>
          </w:p>
        </w:tc>
        <w:tc>
          <w:tcPr>
            <w:tcW w:w="1664" w:type="dxa"/>
            <w:noWrap w:val="0"/>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0.00</w:t>
            </w:r>
          </w:p>
        </w:tc>
      </w:tr>
    </w:tbl>
    <w:p>
      <w:pPr>
        <w:rPr>
          <w:rFonts w:hint="eastAsia" w:ascii="仿宋" w:hAnsi="仿宋" w:eastAsia="仿宋" w:cs="仿宋"/>
          <w:sz w:val="32"/>
          <w:lang w:val="en-US" w:eastAsia="zh-CN"/>
        </w:rPr>
      </w:pPr>
      <w:r>
        <w:rPr>
          <w:rFonts w:hint="eastAsia" w:ascii="仿宋" w:hAnsi="仿宋" w:eastAsia="仿宋" w:cs="仿宋"/>
          <w:sz w:val="32"/>
          <w:lang w:val="en-US" w:eastAsia="zh-CN"/>
        </w:rPr>
        <w:t>备注：本单位2025年没有使用政府性基金预算拨款安排的支出。</w:t>
      </w:r>
    </w:p>
    <w:p>
      <w:pPr>
        <w:rPr>
          <w:rFonts w:hint="eastAsia" w:ascii="仿宋" w:hAnsi="仿宋" w:eastAsia="仿宋" w:cs="仿宋"/>
          <w:sz w:val="32"/>
          <w:lang w:val="en-US" w:eastAsia="zh-CN"/>
        </w:rPr>
      </w:pPr>
    </w:p>
    <w:p>
      <w:pPr>
        <w:tabs>
          <w:tab w:val="left" w:pos="7513"/>
        </w:tabs>
        <w:adjustRightInd w:val="0"/>
        <w:snapToGrid w:val="0"/>
        <w:spacing w:line="600" w:lineRule="exact"/>
        <w:jc w:val="left"/>
        <w:rPr>
          <w:rFonts w:hint="eastAsia" w:ascii="仿宋" w:hAnsi="仿宋" w:eastAsia="仿宋" w:cs="仿宋"/>
          <w:sz w:val="32"/>
          <w:lang w:val="en-US" w:eastAsia="zh-CN"/>
        </w:rPr>
        <w:sectPr>
          <w:pgSz w:w="11906" w:h="16838"/>
          <w:pgMar w:top="1134" w:right="1417" w:bottom="1134" w:left="1417" w:header="851" w:footer="992" w:gutter="0"/>
          <w:pgNumType w:fmt="decimal"/>
          <w:cols w:space="720" w:num="1"/>
          <w:docGrid w:type="linesAndChar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b w:val="0"/>
          <w:bCs/>
        </w:rPr>
      </w:pPr>
      <w:bookmarkStart w:id="13" w:name="_Toc30592"/>
      <w:r>
        <w:rPr>
          <w:rFonts w:hint="eastAsia"/>
          <w:b w:val="0"/>
          <w:bCs/>
        </w:rPr>
        <w:t>七、国有资本经营预算拨款支出预算表</w:t>
      </w:r>
      <w:bookmarkEnd w:id="13"/>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宋体" w:eastAsia="方正小标宋简体" w:cs="宋体"/>
          <w:kern w:val="0"/>
          <w:sz w:val="32"/>
          <w:szCs w:val="32"/>
          <w:lang w:eastAsia="zh-CN"/>
        </w:rPr>
        <w:t>2025</w:t>
      </w:r>
      <w:r>
        <w:rPr>
          <w:rFonts w:ascii="方正小标宋简体" w:hAnsi="方正小标宋简体" w:eastAsia="方正小标宋简体" w:cs="方正小标宋简体"/>
          <w:sz w:val="32"/>
          <w:u w:color="auto"/>
        </w:rPr>
        <w:t>年度国有资本经营预算拨款支出预算表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359"/>
        <w:gridCol w:w="1180"/>
        <w:gridCol w:w="1415"/>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2031" w:type="dxa"/>
            <w:vMerge w:val="restart"/>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科目编码</w:t>
            </w:r>
          </w:p>
        </w:tc>
        <w:tc>
          <w:tcPr>
            <w:tcW w:w="2359" w:type="dxa"/>
            <w:vMerge w:val="restart"/>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科目名称</w:t>
            </w:r>
          </w:p>
        </w:tc>
        <w:tc>
          <w:tcPr>
            <w:tcW w:w="1180" w:type="dxa"/>
            <w:vMerge w:val="restart"/>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小计</w:t>
            </w:r>
          </w:p>
        </w:tc>
        <w:tc>
          <w:tcPr>
            <w:tcW w:w="2958" w:type="dxa"/>
            <w:gridSpan w:val="2"/>
            <w:noWrap w:val="0"/>
            <w:vAlign w:val="center"/>
          </w:tcPr>
          <w:p>
            <w:pPr>
              <w:widowControl w:val="0"/>
              <w:tabs>
                <w:tab w:val="left" w:pos="7513"/>
              </w:tabs>
              <w:adjustRightInd w:val="0"/>
              <w:snapToGrid w:val="0"/>
              <w:spacing w:line="240" w:lineRule="auto"/>
              <w:jc w:val="left"/>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2031" w:type="dxa"/>
            <w:vMerge w:val="continue"/>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2359" w:type="dxa"/>
            <w:vMerge w:val="continue"/>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1180" w:type="dxa"/>
            <w:vMerge w:val="continue"/>
            <w:noWrap w:val="0"/>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1415" w:type="dxa"/>
            <w:noWrap w:val="0"/>
            <w:vAlign w:val="center"/>
          </w:tcPr>
          <w:p>
            <w:pPr>
              <w:keepNext w:val="0"/>
              <w:keepLines w:val="0"/>
              <w:pageBreakBefore w:val="0"/>
              <w:widowControl w:val="0"/>
              <w:tabs>
                <w:tab w:val="left" w:pos="7513"/>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基本支出</w:t>
            </w:r>
          </w:p>
        </w:tc>
        <w:tc>
          <w:tcPr>
            <w:tcW w:w="1543" w:type="dxa"/>
            <w:noWrap w:val="0"/>
            <w:vAlign w:val="center"/>
          </w:tcPr>
          <w:p>
            <w:pPr>
              <w:keepNext w:val="0"/>
              <w:keepLines w:val="0"/>
              <w:pageBreakBefore w:val="0"/>
              <w:widowControl w:val="0"/>
              <w:tabs>
                <w:tab w:val="left" w:pos="7513"/>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390" w:type="dxa"/>
            <w:gridSpan w:val="2"/>
            <w:noWrap w:val="0"/>
            <w:vAlign w:val="center"/>
          </w:tcPr>
          <w:p>
            <w:pPr>
              <w:widowControl w:val="0"/>
              <w:jc w:val="center"/>
              <w:rPr>
                <w:rFonts w:ascii="宋体" w:hAnsi="宋体" w:eastAsia="宋体" w:cs="宋体"/>
                <w:b/>
                <w:bCs/>
                <w:i w:val="0"/>
                <w:strike w:val="0"/>
                <w:color w:val="auto"/>
                <w:kern w:val="2"/>
                <w:position w:val="-1"/>
                <w:sz w:val="22"/>
                <w:szCs w:val="22"/>
                <w:u w:val="none"/>
                <w:lang w:val="en-US" w:eastAsia="zh-CN" w:bidi="ar-SA"/>
              </w:rPr>
            </w:pPr>
            <w:r>
              <w:rPr>
                <w:rFonts w:ascii="宋体" w:hAnsi="宋体" w:eastAsia="宋体" w:cs="宋体"/>
                <w:b/>
                <w:bCs/>
                <w:kern w:val="2"/>
                <w:sz w:val="22"/>
                <w:szCs w:val="22"/>
                <w:u w:val="none" w:color="auto"/>
                <w:lang w:val="en-US" w:eastAsia="zh-CN" w:bidi="ar-SA"/>
              </w:rPr>
              <w:t>合计</w:t>
            </w:r>
          </w:p>
        </w:tc>
        <w:tc>
          <w:tcPr>
            <w:tcW w:w="1180" w:type="dxa"/>
            <w:noWrap w:val="0"/>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0.00</w:t>
            </w:r>
          </w:p>
        </w:tc>
        <w:tc>
          <w:tcPr>
            <w:tcW w:w="1415" w:type="dxa"/>
            <w:noWrap w:val="0"/>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0.00</w:t>
            </w:r>
          </w:p>
        </w:tc>
        <w:tc>
          <w:tcPr>
            <w:tcW w:w="1543" w:type="dxa"/>
            <w:noWrap w:val="0"/>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0.00</w:t>
            </w:r>
          </w:p>
        </w:tc>
      </w:tr>
    </w:tbl>
    <w:p>
      <w:pPr>
        <w:tabs>
          <w:tab w:val="left" w:pos="7513"/>
        </w:tabs>
        <w:adjustRightInd w:val="0"/>
        <w:snapToGrid w:val="0"/>
        <w:spacing w:line="600" w:lineRule="exact"/>
        <w:jc w:val="both"/>
        <w:rPr>
          <w:rFonts w:hint="eastAsia" w:ascii="仿宋" w:hAnsi="仿宋" w:eastAsia="仿宋"/>
          <w:sz w:val="32"/>
          <w:szCs w:val="32"/>
        </w:rPr>
        <w:sectPr>
          <w:pgSz w:w="11906" w:h="16838"/>
          <w:pgMar w:top="1440" w:right="1797" w:bottom="1440" w:left="1797" w:header="851" w:footer="992" w:gutter="0"/>
          <w:pgNumType w:fmt="decimal"/>
          <w:cols w:space="720" w:num="1"/>
          <w:docGrid w:type="linesAndChars" w:linePitch="312" w:charSpace="0"/>
        </w:sectPr>
      </w:pPr>
      <w:r>
        <w:rPr>
          <w:rFonts w:hint="eastAsia" w:ascii="仿宋" w:hAnsi="仿宋" w:eastAsia="仿宋"/>
          <w:sz w:val="32"/>
          <w:szCs w:val="32"/>
          <w:lang w:val="en-US" w:eastAsia="zh-CN"/>
        </w:rPr>
        <w:t>备注：本单位2025年没有使用国有资本经营预算拨款安排的支出。</w:t>
      </w:r>
      <w:r>
        <w:rPr>
          <w:rFonts w:hint="eastAsia" w:ascii="仿宋" w:hAnsi="仿宋" w:eastAsia="仿宋"/>
          <w:sz w:val="32"/>
          <w:szCs w:val="32"/>
        </w:rPr>
        <w:t xml:space="preserve"> </w:t>
      </w:r>
    </w:p>
    <w:p>
      <w:pPr>
        <w:rPr>
          <w:rFonts w:hint="default" w:ascii="仿宋" w:hAnsi="仿宋" w:eastAsia="仿宋"/>
          <w:sz w:val="32"/>
          <w:szCs w:val="32"/>
          <w:lang w:val="en-US" w:eastAsia="zh-CN"/>
        </w:rPr>
      </w:pPr>
    </w:p>
    <w:p>
      <w:pPr>
        <w:pStyle w:val="2"/>
        <w:spacing w:before="0" w:after="0"/>
        <w:rPr>
          <w:rFonts w:hint="eastAsia" w:ascii="黑体" w:hAnsi="黑体" w:eastAsia="黑体" w:cs="黑体"/>
          <w:b w:val="0"/>
          <w:bCs/>
          <w:lang w:val="en-US" w:eastAsia="zh-CN"/>
        </w:rPr>
      </w:pPr>
      <w:bookmarkStart w:id="14" w:name="_Toc6938"/>
      <w:r>
        <w:rPr>
          <w:rFonts w:hint="eastAsia"/>
          <w:b w:val="0"/>
          <w:bCs/>
          <w:lang w:val="en-US" w:eastAsia="zh-CN"/>
        </w:rPr>
        <w:t>八、一般公共预算支出经济分类情况表</w:t>
      </w:r>
      <w:bookmarkEnd w:id="14"/>
    </w:p>
    <w:p>
      <w:pPr>
        <w:tabs>
          <w:tab w:val="left" w:pos="7513"/>
        </w:tabs>
        <w:adjustRightInd w:val="0"/>
        <w:snapToGrid w:val="0"/>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ascii="方正小标宋简体" w:hAnsi="方正小标宋简体" w:eastAsia="方正小标宋简体" w:cs="方正小标宋简体"/>
          <w:sz w:val="32"/>
          <w:u w:color="auto"/>
        </w:rPr>
        <w:t>年度一般公共预算支出经济分类情况表</w:t>
      </w:r>
    </w:p>
    <w:p>
      <w:pPr>
        <w:tabs>
          <w:tab w:val="left" w:pos="7513"/>
        </w:tabs>
        <w:adjustRightInd w:val="0"/>
        <w:snapToGrid w:val="0"/>
        <w:spacing w:line="300" w:lineRule="exact"/>
        <w:jc w:val="right"/>
        <w:rPr>
          <w:rFonts w:ascii="仿宋" w:hAnsi="仿宋" w:eastAsia="仿宋"/>
          <w:sz w:val="22"/>
          <w:szCs w:val="22"/>
        </w:rPr>
      </w:pPr>
      <w:r>
        <w:rPr>
          <w:rFonts w:hint="eastAsia" w:ascii="宋体" w:hAnsi="宋体" w:eastAsia="宋体" w:cs="宋体"/>
          <w:color w:val="000000"/>
          <w:kern w:val="0"/>
          <w:sz w:val="22"/>
          <w:szCs w:val="22"/>
        </w:rPr>
        <w:t>单位：万元</w:t>
      </w:r>
    </w:p>
    <w:tbl>
      <w:tblPr>
        <w:tblStyle w:val="9"/>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4800"/>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654" w:type="dxa"/>
            <w:noWrap w:val="0"/>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科目编码</w:t>
            </w:r>
          </w:p>
        </w:tc>
        <w:tc>
          <w:tcPr>
            <w:tcW w:w="4800" w:type="dxa"/>
            <w:noWrap w:val="0"/>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科目名称</w:t>
            </w:r>
          </w:p>
        </w:tc>
        <w:tc>
          <w:tcPr>
            <w:tcW w:w="2074" w:type="dxa"/>
            <w:noWrap w:val="0"/>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54" w:type="dxa"/>
            <w:gridSpan w:val="2"/>
            <w:noWrap w:val="0"/>
            <w:vAlign w:val="center"/>
          </w:tcPr>
          <w:p>
            <w:pPr>
              <w:widowControl w:val="0"/>
              <w:jc w:val="center"/>
              <w:rPr>
                <w:rFonts w:ascii="Calibri" w:hAnsi="Calibri" w:eastAsia="宋体" w:cs="Times New Roman"/>
                <w:b/>
                <w:bCs/>
                <w:kern w:val="2"/>
                <w:sz w:val="22"/>
                <w:szCs w:val="22"/>
                <w:lang w:val="en-US" w:eastAsia="zh-CN" w:bidi="ar-SA"/>
              </w:rPr>
            </w:pPr>
            <w:r>
              <w:rPr>
                <w:rFonts w:hint="eastAsia" w:ascii="宋体" w:hAnsi="宋体" w:eastAsia="宋体" w:cs="宋体"/>
                <w:b/>
                <w:bCs/>
                <w:color w:val="000000"/>
                <w:kern w:val="2"/>
                <w:position w:val="-1"/>
                <w:sz w:val="22"/>
                <w:szCs w:val="22"/>
                <w:lang w:val="en-US" w:eastAsia="zh-CN" w:bidi="ar-SA"/>
              </w:rPr>
              <w:t>合计</w:t>
            </w:r>
          </w:p>
        </w:tc>
        <w:tc>
          <w:tcPr>
            <w:tcW w:w="2074" w:type="dxa"/>
            <w:noWrap w:val="0"/>
            <w:vAlign w:val="center"/>
          </w:tcPr>
          <w:p>
            <w:pPr>
              <w:widowControl w:val="0"/>
              <w:jc w:val="right"/>
              <w:rPr>
                <w:rFonts w:ascii="Calibri" w:hAnsi="Calibri" w:eastAsia="宋体" w:cs="Times New Roman"/>
                <w:b/>
                <w:bCs/>
                <w:kern w:val="2"/>
                <w:sz w:val="22"/>
                <w:szCs w:val="22"/>
                <w:lang w:val="en-US" w:eastAsia="zh-CN" w:bidi="ar-SA"/>
              </w:rPr>
            </w:pPr>
            <w:r>
              <w:rPr>
                <w:rFonts w:hint="eastAsia" w:ascii="宋体" w:hAnsi="宋体" w:eastAsia="宋体" w:cs="宋体"/>
                <w:b/>
                <w:bCs/>
                <w:color w:val="000000"/>
                <w:kern w:val="2"/>
                <w:position w:val="-1"/>
                <w:sz w:val="22"/>
                <w:szCs w:val="22"/>
                <w:lang w:val="en-US" w:eastAsia="zh-CN" w:bidi="ar-SA"/>
              </w:rPr>
              <w:t>297.54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noWrap w:val="0"/>
            <w:vAlign w:val="center"/>
          </w:tcPr>
          <w:p>
            <w:r>
              <w:t>301</w:t>
            </w:r>
          </w:p>
        </w:tc>
        <w:tc>
          <w:tcPr>
            <w:tcW w:w="4800" w:type="dxa"/>
            <w:noWrap w:val="0"/>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工资福利支出</w:t>
            </w:r>
          </w:p>
        </w:tc>
        <w:tc>
          <w:tcPr>
            <w:tcW w:w="2074"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r>
              <w:rPr>
                <w:rFonts w:hint="eastAsia" w:ascii="宋体" w:hAnsi="宋体" w:eastAsia="宋体" w:cs="宋体"/>
                <w:color w:val="000000"/>
                <w:kern w:val="2"/>
                <w:position w:val="-1"/>
                <w:sz w:val="22"/>
                <w:szCs w:val="22"/>
                <w:lang w:val="en-US" w:eastAsia="zh-CN" w:bidi="ar-SA"/>
              </w:rPr>
              <w:t>285.98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noWrap w:val="0"/>
            <w:vAlign w:val="center"/>
          </w:tcPr>
          <w:p>
            <w:r>
              <w:t>302</w:t>
            </w:r>
          </w:p>
        </w:tc>
        <w:tc>
          <w:tcPr>
            <w:tcW w:w="4800" w:type="dxa"/>
            <w:noWrap w:val="0"/>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商品和服务支出</w:t>
            </w:r>
          </w:p>
        </w:tc>
        <w:tc>
          <w:tcPr>
            <w:tcW w:w="2074"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r>
              <w:rPr>
                <w:rFonts w:hint="eastAsia" w:ascii="宋体" w:hAnsi="宋体" w:eastAsia="宋体" w:cs="宋体"/>
                <w:color w:val="000000"/>
                <w:kern w:val="2"/>
                <w:position w:val="-1"/>
                <w:sz w:val="22"/>
                <w:szCs w:val="22"/>
                <w:lang w:val="en-US" w:eastAsia="zh-CN" w:bidi="ar-SA"/>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noWrap w:val="0"/>
            <w:vAlign w:val="center"/>
          </w:tcPr>
          <w:p>
            <w:r>
              <w:t>303</w:t>
            </w:r>
          </w:p>
        </w:tc>
        <w:tc>
          <w:tcPr>
            <w:tcW w:w="4800" w:type="dxa"/>
            <w:noWrap w:val="0"/>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对个人和家庭的补助</w:t>
            </w:r>
          </w:p>
        </w:tc>
        <w:tc>
          <w:tcPr>
            <w:tcW w:w="2074"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noWrap w:val="0"/>
            <w:vAlign w:val="center"/>
          </w:tcPr>
          <w:p>
            <w:r>
              <w:t>307</w:t>
            </w:r>
          </w:p>
        </w:tc>
        <w:tc>
          <w:tcPr>
            <w:tcW w:w="4800" w:type="dxa"/>
            <w:noWrap w:val="0"/>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债务利息及费用支出</w:t>
            </w:r>
          </w:p>
        </w:tc>
        <w:tc>
          <w:tcPr>
            <w:tcW w:w="2074"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noWrap w:val="0"/>
            <w:vAlign w:val="center"/>
          </w:tcPr>
          <w:p>
            <w:r>
              <w:t>309</w:t>
            </w:r>
          </w:p>
        </w:tc>
        <w:tc>
          <w:tcPr>
            <w:tcW w:w="4800" w:type="dxa"/>
            <w:noWrap w:val="0"/>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资本性支出（基本建设）</w:t>
            </w:r>
          </w:p>
        </w:tc>
        <w:tc>
          <w:tcPr>
            <w:tcW w:w="2074"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noWrap w:val="0"/>
            <w:vAlign w:val="center"/>
          </w:tcPr>
          <w:p>
            <w:r>
              <w:t>310</w:t>
            </w:r>
          </w:p>
        </w:tc>
        <w:tc>
          <w:tcPr>
            <w:tcW w:w="4800" w:type="dxa"/>
            <w:noWrap w:val="0"/>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资本性支出</w:t>
            </w:r>
          </w:p>
        </w:tc>
        <w:tc>
          <w:tcPr>
            <w:tcW w:w="2074"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noWrap w:val="0"/>
            <w:vAlign w:val="center"/>
          </w:tcPr>
          <w:p>
            <w:r>
              <w:t>311</w:t>
            </w:r>
          </w:p>
        </w:tc>
        <w:tc>
          <w:tcPr>
            <w:tcW w:w="4800" w:type="dxa"/>
            <w:noWrap w:val="0"/>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对企业补助（基本建设）</w:t>
            </w:r>
          </w:p>
        </w:tc>
        <w:tc>
          <w:tcPr>
            <w:tcW w:w="2074"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noWrap w:val="0"/>
            <w:vAlign w:val="center"/>
          </w:tcPr>
          <w:p>
            <w:r>
              <w:t>312</w:t>
            </w:r>
          </w:p>
        </w:tc>
        <w:tc>
          <w:tcPr>
            <w:tcW w:w="4800" w:type="dxa"/>
            <w:noWrap w:val="0"/>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对企业补助</w:t>
            </w:r>
          </w:p>
        </w:tc>
        <w:tc>
          <w:tcPr>
            <w:tcW w:w="2074"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noWrap w:val="0"/>
            <w:vAlign w:val="center"/>
          </w:tcPr>
          <w:p>
            <w:r>
              <w:t>313</w:t>
            </w:r>
          </w:p>
        </w:tc>
        <w:tc>
          <w:tcPr>
            <w:tcW w:w="4800" w:type="dxa"/>
            <w:noWrap w:val="0"/>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对社会保障基金补助</w:t>
            </w:r>
          </w:p>
        </w:tc>
        <w:tc>
          <w:tcPr>
            <w:tcW w:w="2074"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noWrap w:val="0"/>
            <w:vAlign w:val="center"/>
          </w:tcPr>
          <w:p>
            <w:r>
              <w:t>399</w:t>
            </w:r>
          </w:p>
        </w:tc>
        <w:tc>
          <w:tcPr>
            <w:tcW w:w="4800" w:type="dxa"/>
            <w:noWrap w:val="0"/>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其他支出</w:t>
            </w:r>
          </w:p>
        </w:tc>
        <w:tc>
          <w:tcPr>
            <w:tcW w:w="2074"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bl>
    <w:p>
      <w:pPr>
        <w:tabs>
          <w:tab w:val="left" w:pos="7513"/>
        </w:tabs>
        <w:adjustRightInd w:val="0"/>
        <w:snapToGrid w:val="0"/>
        <w:spacing w:line="600" w:lineRule="exact"/>
        <w:jc w:val="both"/>
        <w:rPr>
          <w:rFonts w:hint="eastAsia" w:ascii="仿宋" w:hAnsi="仿宋" w:eastAsia="仿宋"/>
          <w:sz w:val="32"/>
          <w:szCs w:val="32"/>
        </w:rPr>
        <w:sectPr>
          <w:pgSz w:w="11906" w:h="16838"/>
          <w:pgMar w:top="1440" w:right="1797" w:bottom="1440" w:left="1797" w:header="851" w:footer="992" w:gutter="0"/>
          <w:pgNumType w:fmt="decimal"/>
          <w:cols w:space="720" w:num="1"/>
          <w:docGrid w:type="linesAndChars" w:linePitch="312" w:charSpace="0"/>
        </w:sectPr>
      </w:pPr>
      <w:r>
        <w:rPr>
          <w:rFonts w:hint="eastAsia" w:ascii="仿宋" w:hAnsi="仿宋" w:eastAsia="仿宋"/>
          <w:sz w:val="32"/>
          <w:szCs w:val="32"/>
        </w:rPr>
        <w:t xml:space="preserve"> </w:t>
      </w: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b w:val="0"/>
          <w:bCs/>
        </w:rPr>
      </w:pPr>
      <w:bookmarkStart w:id="15" w:name="_Toc17128"/>
      <w:r>
        <w:rPr>
          <w:rFonts w:hint="eastAsia"/>
          <w:b w:val="0"/>
          <w:bCs/>
        </w:rPr>
        <w:t>九、一般公共预算基本支出经济分类情况表</w:t>
      </w:r>
      <w:bookmarkEnd w:id="15"/>
    </w:p>
    <w:p>
      <w:pPr>
        <w:tabs>
          <w:tab w:val="left" w:pos="7513"/>
        </w:tabs>
        <w:adjustRightInd w:val="0"/>
        <w:snapToGrid w:val="0"/>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ascii="方正小标宋简体" w:hAnsi="方正小标宋简体" w:eastAsia="方正小标宋简体" w:cs="方正小标宋简体"/>
          <w:sz w:val="32"/>
          <w:u w:color="auto"/>
        </w:rPr>
        <w:t>年度一般公共预算基本支出经济分类情况表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5659"/>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184" w:type="dxa"/>
            <w:noWrap w:val="0"/>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科目编码</w:t>
            </w:r>
          </w:p>
        </w:tc>
        <w:tc>
          <w:tcPr>
            <w:tcW w:w="5659" w:type="dxa"/>
            <w:noWrap w:val="0"/>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科目名称</w:t>
            </w:r>
          </w:p>
        </w:tc>
        <w:tc>
          <w:tcPr>
            <w:tcW w:w="1685" w:type="dxa"/>
            <w:noWrap w:val="0"/>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6843" w:type="dxa"/>
            <w:gridSpan w:val="2"/>
            <w:noWrap w:val="0"/>
            <w:vAlign w:val="center"/>
          </w:tcPr>
          <w:p>
            <w:pPr>
              <w:widowControl w:val="0"/>
              <w:jc w:val="center"/>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合计</w:t>
            </w:r>
          </w:p>
        </w:tc>
        <w:tc>
          <w:tcPr>
            <w:tcW w:w="1685" w:type="dxa"/>
            <w:noWrap w:val="0"/>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297.54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rPr>
                <w:b/>
              </w:rPr>
              <w:t>301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b/>
                <w:color w:val="000000"/>
                <w:kern w:val="2"/>
                <w:position w:val="-1"/>
                <w:sz w:val="18"/>
                <w:szCs w:val="18"/>
                <w:lang w:val="en-US" w:eastAsia="zh-CN" w:bidi="ar-SA"/>
              </w:rPr>
              <w:t>工资福利支出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285.98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30101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基本工资</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63.96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30102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津贴补贴</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30103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奖金</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30106</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伙食补助费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30107</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绩效工资</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30108</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机关事业单位基本养老保险缴费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30109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职业年金缴费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30110</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职工基本医疗保险缴费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30111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公务员医疗补助缴费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30112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其他社会保障缴费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30113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住房公积金</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30114</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医疗费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30199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其他工资福利支出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rPr>
                <w:b/>
              </w:rPr>
              <w:t>302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b/>
                <w:color w:val="000000"/>
                <w:kern w:val="2"/>
                <w:position w:val="-1"/>
                <w:sz w:val="18"/>
                <w:szCs w:val="18"/>
                <w:lang w:val="en-US" w:eastAsia="zh-CN" w:bidi="ar-SA"/>
              </w:rPr>
              <w:t>商品和服务支出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30201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办公费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30202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印刷费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30204</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手续费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30205</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水费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30206</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电费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30207</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邮电费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30208</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取暖费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30209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物业管理费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30211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差旅费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30212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因公出国（境）费用</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30213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维修(护)费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30214</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租赁费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30215</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会议费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30216</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培训费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30217</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公务接待费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30218</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专用材料费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30224</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被装购置费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30225</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专用燃料费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30226</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劳务费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30227</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委托业务费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30228</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工会经费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30229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福利费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30231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公务用车运行维护费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30239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其他交通费用</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30240</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税金及附加费用</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30299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其他商品和服务支出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对个人和家庭的补助</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30301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离休费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30302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退休费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30303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退职（役）费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30304</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抚恤金</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30305</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生活补助</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30306</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救济费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30307</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医疗费补助</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30308</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助学金</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30309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奖励金</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30310</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个人农业生产补贴</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30311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代缴社会保险费</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30399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其他对个人和家庭的补助</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307</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债务利息及费用支出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30701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国内债务付息</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30702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国外债务付息</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30703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国内债务发行费用</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30704</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国外债务发行费用</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资本性支出（基本建设）</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30901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房屋建筑物购建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30902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办公设备购置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30903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专用设备购置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30905</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基础设施建设</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30906</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大型修缮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30907</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信息网络及软件购置更新</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30908</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物资储备</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30913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公务用车购置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30919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其他交通工具购置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30921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文物和陈列品购置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30922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无形资产购置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30999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其他基本建设支出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资本性支出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31001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房屋建筑物购建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31002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办公设备购置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31003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专用设备购置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31005</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基础设施建设</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31006</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大型修缮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31007</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信息网络及软件购置更新</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31008</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物资储备</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31009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土地补偿</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31010</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安置补助</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31011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地上附着物和青苗补偿</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31012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拆迁补偿</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31013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公务用车购置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31019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其他交通工具购置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Layout w:type="fixed"/>
          <w:tblCellMar>
            <w:top w:w="0" w:type="dxa"/>
            <w:left w:w="108" w:type="dxa"/>
            <w:bottom w:w="0" w:type="dxa"/>
            <w:right w:w="108" w:type="dxa"/>
          </w:tblCellMar>
        </w:tblPrEx>
        <w:trPr>
          <w:trHeight w:val="737" w:hRule="atLeast"/>
          <w:jc w:val="center"/>
        </w:trPr>
        <w:tc>
          <w:tcPr>
            <w:tcW w:w="1184" w:type="dxa"/>
            <w:noWrap w:val="0"/>
            <w:vAlign w:val="center"/>
          </w:tcPr>
          <w:p>
            <w:r>
              <w:t>31021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文物和陈列品购置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31022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无形资产购置</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31099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其他资本性支出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对企业补助（基本建设）</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31101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资本金注入（基本建设）</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31199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其他对企业补助</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对企业补助</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31201</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资本金注入</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31203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政府投资基金股权投资</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31204</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费用补贴</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31205</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利息补贴</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31206</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其他资本性补助</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31299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其他对企业补助</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对社会保障基金补助</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31302</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对社会保险基金补助</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31303</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补充全国社会保障基金</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31304</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对机关事业单位职业年金的补助</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399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其他支出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39907</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国家赔偿费用支出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39908</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对民间非营利组织和群众性自治组织补贴</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39909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经常性赠与</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39910</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资本性赠与</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noWrap w:val="0"/>
            <w:vAlign w:val="center"/>
          </w:tcPr>
          <w:p>
            <w:r>
              <w:t>39999</w:t>
            </w:r>
          </w:p>
        </w:tc>
        <w:tc>
          <w:tcPr>
            <w:tcW w:w="5659" w:type="dxa"/>
            <w:noWrap w:val="0"/>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其他支出</w:t>
            </w:r>
          </w:p>
        </w:tc>
        <w:tc>
          <w:tcPr>
            <w:tcW w:w="1685" w:type="dxa"/>
            <w:noWrap w:val="0"/>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bl>
    <w:p>
      <w:pPr>
        <w:tabs>
          <w:tab w:val="left" w:pos="7513"/>
        </w:tabs>
        <w:adjustRightInd w:val="0"/>
        <w:snapToGrid w:val="0"/>
        <w:spacing w:line="600" w:lineRule="exact"/>
        <w:jc w:val="both"/>
        <w:rPr>
          <w:rFonts w:ascii="仿宋" w:hAnsi="仿宋" w:eastAsia="仿宋"/>
          <w:sz w:val="32"/>
          <w:szCs w:val="32"/>
        </w:rPr>
        <w:sectPr>
          <w:pgSz w:w="11906" w:h="16838"/>
          <w:pgMar w:top="567" w:right="1797" w:bottom="567" w:left="1797" w:header="851" w:footer="992" w:gutter="0"/>
          <w:pgNumType w:fmt="decimal"/>
          <w:cols w:space="720" w:num="1"/>
          <w:docGrid w:type="linesAndChars" w:linePitch="312" w:charSpace="0"/>
        </w:sectPr>
      </w:pPr>
      <w:r>
        <w:rPr>
          <w:rFonts w:hint="eastAsia" w:ascii="仿宋" w:hAnsi="仿宋" w:eastAsia="仿宋"/>
          <w:sz w:val="32"/>
          <w:szCs w:val="32"/>
        </w:rPr>
        <w:t xml:space="preserve"> </w:t>
      </w: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b w:val="0"/>
          <w:bCs/>
        </w:rPr>
      </w:pPr>
      <w:bookmarkStart w:id="16" w:name="_Toc5597"/>
      <w:r>
        <w:rPr>
          <w:rFonts w:hint="eastAsia"/>
          <w:b w:val="0"/>
          <w:bCs/>
        </w:rPr>
        <w:t>十、一般公共预算“三公”经费支出预算表</w:t>
      </w:r>
      <w:bookmarkEnd w:id="16"/>
    </w:p>
    <w:p>
      <w:pPr>
        <w:tabs>
          <w:tab w:val="left" w:pos="7513"/>
        </w:tabs>
        <w:adjustRightInd w:val="0"/>
        <w:snapToGrid w:val="0"/>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ascii="方正小标宋简体" w:hAnsi="方正小标宋简体" w:eastAsia="方正小标宋简体" w:cs="方正小标宋简体"/>
          <w:sz w:val="32"/>
          <w:u w:color="auto"/>
        </w:rPr>
        <w:t>年度一般公共预算“三公”经费支出预算表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4264" w:type="dxa"/>
            <w:noWrap w:val="0"/>
            <w:vAlign w:val="center"/>
          </w:tcPr>
          <w:p>
            <w:pPr>
              <w:widowControl/>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项目</w:t>
            </w:r>
          </w:p>
        </w:tc>
        <w:tc>
          <w:tcPr>
            <w:tcW w:w="4264" w:type="dxa"/>
            <w:noWrap w:val="0"/>
            <w:vAlign w:val="center"/>
          </w:tcPr>
          <w:p>
            <w:pPr>
              <w:widowControl/>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264" w:type="dxa"/>
            <w:noWrap w:val="0"/>
            <w:vAlign w:val="center"/>
          </w:tcPr>
          <w:p>
            <w:pPr>
              <w:widowControl w:val="0"/>
              <w:jc w:val="center"/>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合计</w:t>
            </w:r>
          </w:p>
        </w:tc>
        <w:tc>
          <w:tcPr>
            <w:tcW w:w="4264" w:type="dxa"/>
            <w:noWrap w:val="0"/>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264" w:type="dxa"/>
            <w:noWrap w:val="0"/>
            <w:vAlign w:val="center"/>
          </w:tcPr>
          <w:p>
            <w:pPr>
              <w:widowControl w:val="0"/>
              <w:jc w:val="lef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1、因公出国（境）费用</w:t>
            </w:r>
          </w:p>
        </w:tc>
        <w:tc>
          <w:tcPr>
            <w:tcW w:w="4264" w:type="dxa"/>
            <w:noWrap w:val="0"/>
            <w:vAlign w:val="center"/>
          </w:tcPr>
          <w:p>
            <w:pPr>
              <w:widowControl w:val="0"/>
              <w:jc w:val="righ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264" w:type="dxa"/>
            <w:noWrap w:val="0"/>
            <w:vAlign w:val="center"/>
          </w:tcPr>
          <w:p>
            <w:pPr>
              <w:widowControl w:val="0"/>
              <w:jc w:val="lef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2、公务接待费</w:t>
            </w:r>
          </w:p>
        </w:tc>
        <w:tc>
          <w:tcPr>
            <w:tcW w:w="4264" w:type="dxa"/>
            <w:noWrap w:val="0"/>
            <w:vAlign w:val="center"/>
          </w:tcPr>
          <w:p>
            <w:pPr>
              <w:widowControl w:val="0"/>
              <w:jc w:val="righ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264" w:type="dxa"/>
            <w:noWrap w:val="0"/>
            <w:vAlign w:val="center"/>
          </w:tcPr>
          <w:p>
            <w:pPr>
              <w:widowControl w:val="0"/>
              <w:jc w:val="lef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3、公务用车购置及运行费</w:t>
            </w:r>
          </w:p>
        </w:tc>
        <w:tc>
          <w:tcPr>
            <w:tcW w:w="4264" w:type="dxa"/>
            <w:noWrap w:val="0"/>
            <w:vAlign w:val="center"/>
          </w:tcPr>
          <w:p>
            <w:pPr>
              <w:widowControl w:val="0"/>
              <w:jc w:val="righ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264" w:type="dxa"/>
            <w:noWrap w:val="0"/>
            <w:vAlign w:val="center"/>
          </w:tcPr>
          <w:p>
            <w:pPr>
              <w:widowControl w:val="0"/>
              <w:jc w:val="lef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其中：（1）公务用车购置费</w:t>
            </w:r>
          </w:p>
        </w:tc>
        <w:tc>
          <w:tcPr>
            <w:tcW w:w="4264" w:type="dxa"/>
            <w:noWrap w:val="0"/>
            <w:vAlign w:val="center"/>
          </w:tcPr>
          <w:p>
            <w:pPr>
              <w:widowControl w:val="0"/>
              <w:jc w:val="righ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264" w:type="dxa"/>
            <w:noWrap w:val="0"/>
            <w:vAlign w:val="center"/>
          </w:tcPr>
          <w:p>
            <w:pPr>
              <w:widowControl w:val="0"/>
              <w:ind w:firstLine="660" w:firstLineChars="300"/>
              <w:jc w:val="lef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（2）公务用车运行费</w:t>
            </w:r>
          </w:p>
        </w:tc>
        <w:tc>
          <w:tcPr>
            <w:tcW w:w="4264" w:type="dxa"/>
            <w:noWrap w:val="0"/>
            <w:vAlign w:val="center"/>
          </w:tcPr>
          <w:p>
            <w:pPr>
              <w:widowControl w:val="0"/>
              <w:jc w:val="righ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0.6</w:t>
            </w:r>
          </w:p>
        </w:tc>
      </w:tr>
    </w:tbl>
    <w:p>
      <w:pPr>
        <w:tabs>
          <w:tab w:val="left" w:pos="7513"/>
        </w:tabs>
        <w:adjustRightInd w:val="0"/>
        <w:snapToGrid w:val="0"/>
        <w:spacing w:line="600" w:lineRule="exact"/>
        <w:jc w:val="both"/>
        <w:rPr>
          <w:rFonts w:ascii="仿宋" w:hAnsi="仿宋" w:eastAsia="仿宋"/>
          <w:sz w:val="32"/>
          <w:szCs w:val="32"/>
        </w:rPr>
        <w:sectPr>
          <w:pgSz w:w="11906" w:h="16838"/>
          <w:pgMar w:top="567" w:right="1797" w:bottom="567" w:left="1797" w:header="851" w:footer="992" w:gutter="0"/>
          <w:pgNumType w:fmt="decimal"/>
          <w:cols w:space="720" w:num="1"/>
          <w:docGrid w:type="linesAndChars" w:linePitch="312" w:charSpace="0"/>
        </w:sectPr>
      </w:pPr>
      <w:r>
        <w:rPr>
          <w:rFonts w:hint="eastAsia" w:ascii="仿宋" w:hAnsi="仿宋" w:eastAsia="仿宋"/>
          <w:sz w:val="32"/>
          <w:szCs w:val="32"/>
        </w:rPr>
        <w:t xml:space="preserve"> </w:t>
      </w:r>
    </w:p>
    <w:p>
      <w:pPr>
        <w:bidi w:val="0"/>
        <w:rPr>
          <w:rFonts w:hint="eastAsia" w:ascii="仿宋" w:hAnsi="仿宋" w:eastAsia="仿宋"/>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320" w:line="240" w:lineRule="auto"/>
        <w:jc w:val="left"/>
        <w:textAlignment w:val="auto"/>
        <w:rPr>
          <w:rStyle w:val="12"/>
          <w:rFonts w:hint="eastAsia"/>
          <w:b w:val="0"/>
          <w:bCs/>
          <w:sz w:val="56"/>
          <w:szCs w:val="56"/>
        </w:rPr>
      </w:pPr>
      <w:bookmarkStart w:id="17" w:name="_Toc30545"/>
    </w:p>
    <w:p>
      <w:pPr>
        <w:pStyle w:val="3"/>
        <w:keepNext w:val="0"/>
        <w:keepLines w:val="0"/>
        <w:pageBreakBefore w:val="0"/>
        <w:widowControl w:val="0"/>
        <w:kinsoku/>
        <w:wordWrap/>
        <w:overflowPunct/>
        <w:topLinePunct w:val="0"/>
        <w:autoSpaceDE/>
        <w:autoSpaceDN/>
        <w:bidi w:val="0"/>
        <w:adjustRightInd/>
        <w:snapToGrid/>
        <w:spacing w:after="320" w:line="240" w:lineRule="auto"/>
        <w:jc w:val="left"/>
        <w:textAlignment w:val="auto"/>
        <w:rPr>
          <w:rStyle w:val="12"/>
          <w:rFonts w:hint="eastAsia" w:ascii="黑体" w:hAnsi="黑体" w:eastAsia="黑体" w:cs="黑体"/>
          <w:b w:val="0"/>
          <w:bCs/>
          <w:sz w:val="56"/>
          <w:szCs w:val="56"/>
          <w:lang w:val="en-US" w:eastAsia="zh-CN"/>
        </w:rPr>
      </w:pPr>
      <w:r>
        <w:rPr>
          <w:rStyle w:val="12"/>
          <w:rFonts w:hint="eastAsia"/>
          <w:b w:val="0"/>
          <w:bCs/>
          <w:sz w:val="56"/>
          <w:szCs w:val="56"/>
        </w:rPr>
        <w:t>第三部分</w:t>
      </w:r>
      <w:bookmarkEnd w:id="17"/>
    </w:p>
    <w:p>
      <w:pPr>
        <w:pStyle w:val="2"/>
        <w:pageBreakBefore w:val="0"/>
        <w:widowControl w:val="0"/>
        <w:kinsoku/>
        <w:wordWrap/>
        <w:overflowPunct/>
        <w:topLinePunct w:val="0"/>
        <w:autoSpaceDE/>
        <w:autoSpaceDN/>
        <w:bidi w:val="0"/>
        <w:adjustRightInd/>
        <w:snapToGrid/>
        <w:spacing w:after="320" w:line="240" w:lineRule="auto"/>
        <w:jc w:val="center"/>
        <w:textAlignment w:val="auto"/>
        <w:rPr>
          <w:rFonts w:ascii="仿宋" w:hAnsi="仿宋" w:eastAsia="仿宋"/>
          <w:b/>
          <w:sz w:val="56"/>
          <w:szCs w:val="56"/>
        </w:rPr>
        <w:sectPr>
          <w:pgSz w:w="11906" w:h="16838"/>
          <w:pgMar w:top="1440" w:right="1800" w:bottom="1440" w:left="1800" w:header="851" w:footer="992" w:gutter="0"/>
          <w:pgNumType w:fmt="decimal"/>
          <w:cols w:space="720" w:num="1"/>
          <w:docGrid w:type="lines" w:linePitch="312" w:charSpace="0"/>
        </w:sectPr>
      </w:pPr>
      <w:bookmarkStart w:id="18" w:name="_Toc22448"/>
      <w:r>
        <w:rPr>
          <w:rFonts w:hint="eastAsia" w:ascii="黑体" w:hAnsi="黑体" w:eastAsia="黑体" w:cs="黑体"/>
          <w:b w:val="0"/>
          <w:bCs/>
          <w:sz w:val="56"/>
          <w:szCs w:val="56"/>
          <w:lang w:eastAsia="zh-CN"/>
        </w:rPr>
        <w:t>2025</w:t>
      </w:r>
      <w:r>
        <w:rPr>
          <w:rFonts w:ascii="黑体" w:hAnsi="黑体" w:eastAsia="黑体" w:cs="黑体"/>
          <w:b w:val="0"/>
          <w:bCs/>
          <w:sz w:val="56"/>
          <w:szCs w:val="56"/>
        </w:rPr>
        <w:t>年度</w:t>
      </w:r>
      <w:r>
        <w:rPr>
          <w:rFonts w:hint="eastAsia" w:ascii="黑体" w:hAnsi="黑体" w:cs="黑体"/>
          <w:b w:val="0"/>
          <w:bCs/>
          <w:sz w:val="56"/>
          <w:szCs w:val="56"/>
          <w:lang w:val="en-US" w:eastAsia="zh-CN"/>
        </w:rPr>
        <w:t>单位</w:t>
      </w:r>
      <w:r>
        <w:rPr>
          <w:rFonts w:ascii="黑体" w:hAnsi="黑体" w:eastAsia="黑体" w:cs="黑体"/>
          <w:b w:val="0"/>
          <w:bCs/>
          <w:sz w:val="56"/>
          <w:szCs w:val="56"/>
        </w:rPr>
        <w:t>预算情况说明</w:t>
      </w:r>
      <w:bookmarkEnd w:id="18"/>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675" w:leftChars="0" w:hanging="675" w:firstLineChars="0"/>
        <w:textAlignment w:val="auto"/>
        <w:rPr>
          <w:rFonts w:hint="default" w:ascii="Calibri" w:hAnsi="Calibri" w:eastAsia="黑体" w:cs="Times New Roman"/>
          <w:b w:val="0"/>
          <w:bCs/>
          <w:kern w:val="44"/>
          <w:sz w:val="32"/>
          <w:szCs w:val="22"/>
          <w:lang w:val="en-US" w:eastAsia="zh-CN" w:bidi="ar-SA"/>
        </w:rPr>
      </w:pPr>
      <w:bookmarkStart w:id="19" w:name="_Toc11599"/>
      <w:r>
        <w:rPr>
          <w:rFonts w:hint="eastAsia" w:cs="Times New Roman"/>
          <w:b w:val="0"/>
          <w:bCs/>
          <w:kern w:val="44"/>
          <w:sz w:val="32"/>
          <w:szCs w:val="22"/>
          <w:lang w:val="en-US" w:eastAsia="zh-CN" w:bidi="ar-SA"/>
        </w:rPr>
        <w:t>一、预算收支总体情况</w:t>
      </w:r>
      <w:bookmarkEnd w:id="19"/>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rPr>
      </w:pPr>
      <w:r>
        <w:rPr>
          <w:rFonts w:ascii="仿宋" w:hAnsi="仿宋" w:eastAsia="仿宋" w:cs="仿宋"/>
          <w:sz w:val="32"/>
        </w:rPr>
        <w:t>按照综合预算的原则，</w:t>
      </w:r>
      <w:r>
        <w:rPr>
          <w:rFonts w:hint="eastAsia" w:ascii="仿宋" w:hAnsi="仿宋" w:eastAsia="仿宋" w:cs="仿宋"/>
          <w:sz w:val="32"/>
          <w:lang w:val="en-US" w:eastAsia="zh-CN"/>
        </w:rPr>
        <w:t>单位</w:t>
      </w:r>
      <w:r>
        <w:rPr>
          <w:rFonts w:ascii="仿宋" w:hAnsi="仿宋" w:eastAsia="仿宋" w:cs="仿宋"/>
          <w:sz w:val="32"/>
        </w:rPr>
        <w:t>所有收入和支出均纳入</w:t>
      </w:r>
      <w:r>
        <w:rPr>
          <w:rFonts w:hint="eastAsia" w:ascii="仿宋" w:hAnsi="仿宋" w:eastAsia="仿宋" w:cs="仿宋"/>
          <w:sz w:val="32"/>
          <w:lang w:val="en-US" w:eastAsia="zh-CN"/>
        </w:rPr>
        <w:t>单位</w:t>
      </w:r>
      <w:r>
        <w:rPr>
          <w:rFonts w:ascii="仿宋" w:hAnsi="仿宋" w:eastAsia="仿宋" w:cs="仿宋"/>
          <w:sz w:val="32"/>
        </w:rPr>
        <w:t>预算管理。</w:t>
      </w:r>
      <w:r>
        <w:rPr>
          <w:rFonts w:hint="eastAsia" w:ascii="仿宋" w:hAnsi="仿宋" w:eastAsia="仿宋" w:cs="仿宋"/>
          <w:sz w:val="32"/>
          <w:lang w:eastAsia="zh-CN"/>
        </w:rPr>
        <w:t>2025</w:t>
      </w:r>
      <w:r>
        <w:rPr>
          <w:rFonts w:ascii="仿宋" w:hAnsi="仿宋" w:eastAsia="仿宋" w:cs="仿宋"/>
          <w:sz w:val="32"/>
        </w:rPr>
        <w:t>年,</w:t>
      </w:r>
      <w:r>
        <w:rPr>
          <w:rFonts w:hint="eastAsia" w:ascii="仿宋" w:hAnsi="仿宋" w:eastAsia="仿宋" w:cs="仿宋"/>
          <w:sz w:val="32"/>
          <w:lang w:val="en-US" w:eastAsia="zh-CN"/>
        </w:rPr>
        <w:t>莆田市荔城区西天尾工业园服务中心</w:t>
      </w:r>
      <w:r>
        <w:rPr>
          <w:rFonts w:ascii="仿宋" w:hAnsi="仿宋" w:eastAsia="仿宋" w:cs="仿宋"/>
          <w:sz w:val="32"/>
        </w:rPr>
        <w:t>收入预算为</w:t>
      </w:r>
      <w:r>
        <w:rPr>
          <w:rFonts w:hint="eastAsia" w:ascii="仿宋" w:hAnsi="仿宋" w:eastAsia="仿宋" w:cs="仿宋"/>
          <w:sz w:val="32"/>
        </w:rPr>
        <w:t>297.54</w:t>
      </w:r>
      <w:r>
        <w:rPr>
          <w:rFonts w:ascii="仿宋" w:hAnsi="仿宋" w:eastAsia="仿宋" w:cs="仿宋"/>
          <w:sz w:val="32"/>
        </w:rPr>
        <w:t>万元，</w:t>
      </w:r>
      <w:r>
        <w:rPr>
          <w:rFonts w:hint="eastAsia" w:ascii="仿宋" w:hAnsi="仿宋" w:eastAsia="仿宋" w:cs="仿宋_GB2312"/>
          <w:sz w:val="32"/>
          <w:szCs w:val="32"/>
        </w:rPr>
        <w:t>比上年增加61.78万元</w:t>
      </w:r>
      <w:r>
        <w:rPr>
          <w:rFonts w:ascii="仿宋" w:hAnsi="仿宋" w:eastAsia="仿宋" w:cs="仿宋"/>
          <w:sz w:val="32"/>
          <w:u w:val="none" w:color="auto"/>
        </w:rPr>
        <w:t>，主要原因是：</w:t>
      </w:r>
      <w:r>
        <w:rPr>
          <w:rFonts w:hint="eastAsia" w:ascii="仿宋" w:hAnsi="仿宋" w:eastAsia="仿宋" w:cs="仿宋"/>
          <w:sz w:val="32"/>
          <w:u w:val="none" w:color="auto"/>
          <w:lang w:val="en-US" w:eastAsia="zh-CN"/>
        </w:rPr>
        <w:t>新增一个人员，预算安排资金增加</w:t>
      </w:r>
      <w:r>
        <w:rPr>
          <w:rFonts w:hint="eastAsia" w:ascii="仿宋" w:hAnsi="仿宋" w:eastAsia="仿宋" w:cs="仿宋"/>
          <w:sz w:val="32"/>
          <w:lang w:val="en-US" w:eastAsia="zh-CN"/>
        </w:rPr>
        <w:t>。</w:t>
      </w:r>
      <w:r>
        <w:rPr>
          <w:rFonts w:ascii="仿宋" w:hAnsi="仿宋" w:eastAsia="仿宋" w:cs="仿宋"/>
          <w:sz w:val="32"/>
        </w:rPr>
        <w:t>其中：</w:t>
      </w:r>
      <w:r>
        <w:rPr>
          <w:rFonts w:hint="eastAsia" w:ascii="仿宋" w:hAnsi="仿宋" w:eastAsia="仿宋" w:cs="仿宋"/>
          <w:sz w:val="32"/>
        </w:rPr>
        <w:t>一般公共预算拨款收入297.54万元。</w:t>
      </w:r>
    </w:p>
    <w:p>
      <w:pPr>
        <w:tabs>
          <w:tab w:val="left" w:pos="7513"/>
        </w:tabs>
        <w:wordWrap w:val="0"/>
        <w:adjustRightInd w:val="0"/>
        <w:snapToGrid w:val="0"/>
        <w:spacing w:line="600" w:lineRule="exact"/>
        <w:ind w:firstLine="640" w:firstLineChars="200"/>
        <w:rPr>
          <w:rFonts w:hint="eastAsia" w:ascii="仿宋" w:hAnsi="仿宋" w:eastAsia="仿宋" w:cs="仿宋"/>
          <w:sz w:val="32"/>
          <w:lang w:val="en-US" w:eastAsia="zh-CN"/>
        </w:rPr>
      </w:pPr>
      <w:r>
        <w:rPr>
          <w:rFonts w:ascii="仿宋" w:hAnsi="仿宋" w:eastAsia="仿宋" w:cs="仿宋"/>
          <w:sz w:val="32"/>
        </w:rPr>
        <w:t>相应安排支出预算</w:t>
      </w:r>
      <w:r>
        <w:rPr>
          <w:rFonts w:hint="eastAsia" w:ascii="仿宋" w:hAnsi="仿宋" w:eastAsia="仿宋" w:cs="仿宋"/>
          <w:sz w:val="32"/>
          <w:lang w:val="en-US" w:eastAsia="zh-CN"/>
        </w:rPr>
        <w:t>297.54</w:t>
      </w:r>
      <w:r>
        <w:rPr>
          <w:rFonts w:ascii="仿宋" w:hAnsi="仿宋" w:eastAsia="仿宋" w:cs="仿宋"/>
          <w:sz w:val="32"/>
        </w:rPr>
        <w:t>万元，</w:t>
      </w:r>
      <w:r>
        <w:rPr>
          <w:rFonts w:hint="eastAsia" w:ascii="仿宋" w:hAnsi="仿宋" w:eastAsia="仿宋" w:cs="仿宋"/>
          <w:sz w:val="32"/>
          <w:lang w:val="en-US" w:eastAsia="zh-CN"/>
        </w:rPr>
        <w:t>比上年增加61.78万元</w:t>
      </w:r>
      <w:r>
        <w:rPr>
          <w:rFonts w:hint="eastAsia" w:ascii="仿宋" w:hAnsi="仿宋" w:eastAsia="仿宋" w:cs="仿宋_GB2312"/>
          <w:sz w:val="32"/>
          <w:szCs w:val="32"/>
          <w:highlight w:val="none"/>
          <w:lang w:val="en-US" w:eastAsia="zh-CN"/>
        </w:rPr>
        <w:t>，主要原因</w:t>
      </w:r>
      <w:r>
        <w:rPr>
          <w:rFonts w:ascii="仿宋" w:hAnsi="仿宋" w:eastAsia="仿宋" w:cs="仿宋"/>
          <w:sz w:val="32"/>
          <w:u w:val="none" w:color="auto"/>
        </w:rPr>
        <w:t>是</w:t>
      </w:r>
      <w:r>
        <w:rPr>
          <w:rFonts w:ascii="仿宋" w:hAnsi="仿宋" w:eastAsia="仿宋" w:cs="仿宋"/>
          <w:sz w:val="32"/>
        </w:rPr>
        <w:t>：</w:t>
      </w:r>
      <w:r>
        <w:rPr>
          <w:rFonts w:hint="eastAsia" w:ascii="仿宋" w:hAnsi="仿宋" w:eastAsia="仿宋" w:cs="仿宋_GB2312"/>
          <w:sz w:val="32"/>
          <w:szCs w:val="32"/>
          <w:lang w:val="en-US" w:eastAsia="zh-CN"/>
        </w:rPr>
        <w:t>新增一个人员，预算安排资金增加</w:t>
      </w:r>
      <w:r>
        <w:rPr>
          <w:rFonts w:hint="eastAsia" w:ascii="仿宋" w:hAnsi="仿宋" w:eastAsia="仿宋" w:cs="仿宋"/>
          <w:sz w:val="32"/>
          <w:lang w:val="en-US" w:eastAsia="zh-CN"/>
        </w:rPr>
        <w:t>。</w:t>
      </w:r>
      <w:r>
        <w:rPr>
          <w:rFonts w:ascii="仿宋" w:hAnsi="仿宋" w:eastAsia="仿宋" w:cs="仿宋"/>
          <w:sz w:val="32"/>
        </w:rPr>
        <w:t>其中：</w:t>
      </w:r>
      <w:r>
        <w:rPr>
          <w:rFonts w:hint="eastAsia" w:ascii="仿宋" w:hAnsi="仿宋" w:eastAsia="仿宋" w:cs="仿宋"/>
          <w:sz w:val="32"/>
          <w:lang w:val="en-US" w:eastAsia="zh-CN"/>
        </w:rPr>
        <w:t>基本支出297.54万元。</w:t>
      </w:r>
    </w:p>
    <w:p>
      <w:pPr>
        <w:tabs>
          <w:tab w:val="left" w:pos="7513"/>
        </w:tabs>
        <w:wordWrap w:val="0"/>
        <w:adjustRightInd w:val="0"/>
        <w:snapToGrid w:val="0"/>
        <w:spacing w:line="600" w:lineRule="exact"/>
        <w:ind w:firstLine="640" w:firstLineChars="200"/>
        <w:rPr>
          <w:rFonts w:hint="eastAsia" w:ascii="仿宋" w:hAnsi="仿宋" w:eastAsia="仿宋" w:cs="仿宋"/>
          <w:sz w:val="32"/>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675" w:leftChars="0" w:hanging="675" w:firstLineChars="0"/>
        <w:textAlignment w:val="auto"/>
        <w:rPr>
          <w:rFonts w:hint="default"/>
          <w:b w:val="0"/>
          <w:bCs/>
          <w:lang w:val="en-US" w:eastAsia="zh-CN"/>
        </w:rPr>
      </w:pPr>
      <w:bookmarkStart w:id="20" w:name="_Toc31090"/>
      <w:r>
        <w:rPr>
          <w:rFonts w:hint="eastAsia"/>
          <w:b w:val="0"/>
          <w:bCs/>
          <w:lang w:val="en-US" w:eastAsia="zh-CN"/>
        </w:rPr>
        <w:t>二、一般公共预算拨款支出情况</w:t>
      </w:r>
      <w:bookmarkEnd w:id="20"/>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
          <w:sz w:val="32"/>
          <w:u w:val="none" w:color="auto"/>
        </w:rPr>
      </w:pPr>
      <w:r>
        <w:rPr>
          <w:rFonts w:hint="eastAsia" w:ascii="仿宋" w:hAnsi="仿宋" w:eastAsia="仿宋" w:cs="仿宋"/>
          <w:sz w:val="32"/>
          <w:u w:val="none" w:color="auto"/>
          <w:lang w:eastAsia="zh-CN"/>
        </w:rPr>
        <w:t>2025</w:t>
      </w:r>
      <w:r>
        <w:rPr>
          <w:rFonts w:ascii="仿宋" w:hAnsi="仿宋" w:eastAsia="仿宋" w:cs="仿宋"/>
          <w:sz w:val="32"/>
          <w:u w:val="none" w:color="auto"/>
        </w:rPr>
        <w:t>年度一般公共预算拨款支出</w:t>
      </w:r>
      <w:r>
        <w:rPr>
          <w:rFonts w:hint="eastAsia" w:ascii="仿宋" w:hAnsi="仿宋" w:eastAsia="仿宋" w:cs="仿宋"/>
          <w:sz w:val="32"/>
          <w:lang w:val="en-US" w:eastAsia="zh-CN"/>
        </w:rPr>
        <w:t>297.54</w:t>
      </w:r>
      <w:r>
        <w:rPr>
          <w:rFonts w:ascii="仿宋" w:hAnsi="仿宋" w:eastAsia="仿宋" w:cs="仿宋"/>
          <w:sz w:val="32"/>
          <w:u w:val="none" w:color="auto"/>
        </w:rPr>
        <w:t>万元，</w:t>
      </w:r>
      <w:r>
        <w:rPr>
          <w:rFonts w:hint="eastAsia" w:ascii="仿宋" w:hAnsi="仿宋" w:eastAsia="仿宋" w:cs="仿宋"/>
          <w:sz w:val="32"/>
          <w:lang w:val="en-US" w:eastAsia="zh-CN"/>
        </w:rPr>
        <w:t>比上年增加61.78万元，增长26.20%</w:t>
      </w:r>
      <w:r>
        <w:rPr>
          <w:rFonts w:ascii="仿宋" w:hAnsi="仿宋" w:eastAsia="仿宋" w:cs="仿宋"/>
          <w:sz w:val="32"/>
          <w:u w:val="none" w:color="auto"/>
        </w:rPr>
        <w:t>，主要原因是：</w:t>
      </w:r>
      <w:r>
        <w:rPr>
          <w:rFonts w:hint="eastAsia" w:ascii="仿宋" w:hAnsi="仿宋" w:eastAsia="仿宋" w:cs="仿宋"/>
          <w:sz w:val="32"/>
          <w:lang w:val="en-US" w:eastAsia="zh-CN"/>
        </w:rPr>
        <w:t>新增一个人员，预算安排资金增加</w:t>
      </w:r>
      <w:r>
        <w:rPr>
          <w:rFonts w:ascii="仿宋" w:hAnsi="仿宋" w:eastAsia="仿宋" w:cs="仿宋"/>
          <w:sz w:val="32"/>
          <w:u w:color="auto"/>
        </w:rPr>
        <w:t>。</w:t>
      </w:r>
      <w:r>
        <w:rPr>
          <w:rFonts w:hint="eastAsia" w:ascii="仿宋" w:hAnsi="仿宋" w:eastAsia="仿宋" w:cs="仿宋_GB2312"/>
          <w:sz w:val="32"/>
          <w:szCs w:val="32"/>
        </w:rPr>
        <w:t>按照党中央、国务院和省委、省政府关于过紧日子的有关要求，厉行节约办一切事业，大力压减一般性支出，重点压减了</w:t>
      </w:r>
      <w:r>
        <w:rPr>
          <w:rFonts w:hint="eastAsia" w:ascii="仿宋" w:hAnsi="仿宋" w:eastAsia="仿宋" w:cs="仿宋_GB2312"/>
          <w:sz w:val="32"/>
          <w:szCs w:val="32"/>
          <w:lang w:val="en-US" w:eastAsia="zh-CN"/>
        </w:rPr>
        <w:t>培训费用</w:t>
      </w:r>
      <w:r>
        <w:rPr>
          <w:rFonts w:hint="eastAsia" w:ascii="仿宋" w:hAnsi="仿宋" w:eastAsia="仿宋" w:cs="仿宋_GB2312"/>
          <w:sz w:val="32"/>
          <w:szCs w:val="32"/>
        </w:rPr>
        <w:t>，同时合理保障了</w:t>
      </w:r>
      <w:r>
        <w:rPr>
          <w:rFonts w:hint="eastAsia" w:ascii="仿宋" w:hAnsi="仿宋" w:eastAsia="仿宋" w:cs="仿宋_GB2312"/>
          <w:sz w:val="32"/>
          <w:szCs w:val="32"/>
          <w:lang w:val="en-US" w:eastAsia="zh-CN"/>
        </w:rPr>
        <w:t>工资、五险二金、办公费用</w:t>
      </w:r>
      <w:r>
        <w:rPr>
          <w:rFonts w:hint="eastAsia" w:ascii="仿宋" w:hAnsi="仿宋" w:eastAsia="仿宋" w:cs="仿宋_GB2312"/>
          <w:sz w:val="32"/>
          <w:szCs w:val="32"/>
        </w:rPr>
        <w:t>等工作的支出需求，体现在有关支出科目中。</w:t>
      </w:r>
      <w:r>
        <w:rPr>
          <w:rFonts w:ascii="仿宋" w:hAnsi="仿宋" w:eastAsia="仿宋" w:cs="仿宋"/>
          <w:sz w:val="32"/>
          <w:u w:val="none" w:color="auto"/>
        </w:rPr>
        <w:t>其中（按项级科目分类统计）：</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jc w:val="left"/>
        <w:textAlignment w:val="auto"/>
        <w:rPr>
          <w:rFonts w:hint="eastAsia" w:ascii="仿宋" w:hAnsi="仿宋" w:eastAsia="仿宋" w:cs="仿宋"/>
          <w:sz w:val="32"/>
          <w:lang w:val="en-US" w:eastAsia="zh-CN"/>
        </w:rPr>
      </w:pPr>
      <w:r>
        <w:rPr>
          <w:rFonts w:ascii="仿宋" w:hAnsi="仿宋" w:eastAsia="仿宋" w:cs="仿宋"/>
          <w:sz w:val="32"/>
        </w:rPr>
        <w:t>(一) 2080505-机关事业单位基本养老保险缴费支出27.71万元。主要用于行政事业人员养老缴费支出。</w:t>
      </w:r>
      <w:r>
        <w:rPr>
          <w:rFonts w:ascii="仿宋" w:hAnsi="仿宋" w:eastAsia="仿宋" w:cs="仿宋"/>
          <w:sz w:val="32"/>
        </w:rPr>
        <w:br w:type="textWrapping"/>
      </w:r>
      <w:r>
        <w:rPr>
          <w:rFonts w:ascii="仿宋" w:hAnsi="仿宋" w:eastAsia="仿宋" w:cs="仿宋"/>
          <w:sz w:val="32"/>
        </w:rPr>
        <w:t>(二) 2101102-事业单位医疗8.83万元。主要用于事业人员医疗保险缴费支出。</w:t>
      </w:r>
      <w:r>
        <w:rPr>
          <w:rFonts w:ascii="仿宋" w:hAnsi="仿宋" w:eastAsia="仿宋" w:cs="仿宋"/>
          <w:sz w:val="32"/>
        </w:rPr>
        <w:br w:type="textWrapping"/>
      </w:r>
      <w:r>
        <w:rPr>
          <w:rFonts w:ascii="仿宋" w:hAnsi="仿宋" w:eastAsia="仿宋" w:cs="仿宋"/>
          <w:sz w:val="32"/>
        </w:rPr>
        <w:t>(三) 2160250-事业运行239.50万元。主要用于基本工资、奖金、事业单位定额公用经费、工会经费</w:t>
      </w:r>
      <w:r>
        <w:rPr>
          <w:rFonts w:ascii="仿宋" w:hAnsi="仿宋" w:eastAsia="仿宋" w:cs="仿宋"/>
          <w:sz w:val="32"/>
        </w:rPr>
        <w:br w:type="textWrapping"/>
      </w:r>
      <w:r>
        <w:rPr>
          <w:rFonts w:ascii="仿宋" w:hAnsi="仿宋" w:eastAsia="仿宋" w:cs="仿宋"/>
          <w:sz w:val="32"/>
        </w:rPr>
        <w:t>(四) 2210201-住房公积金21.50万元。主要用于行政和事业人员住房公积金支出。</w:t>
      </w:r>
      <w:r>
        <w:rPr>
          <w:rFonts w:ascii="仿宋" w:hAnsi="仿宋" w:eastAsia="仿宋" w:cs="仿宋"/>
          <w:sz w:val="32"/>
        </w:rPr>
        <w:br w:type="textWrapping"/>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675" w:leftChars="0" w:hanging="675" w:firstLineChars="0"/>
        <w:textAlignment w:val="auto"/>
        <w:rPr>
          <w:rFonts w:hint="eastAsia"/>
          <w:b w:val="0"/>
          <w:bCs/>
          <w:lang w:val="en-US" w:eastAsia="zh-CN"/>
        </w:rPr>
      </w:pPr>
      <w:bookmarkStart w:id="21" w:name="_Toc23160"/>
      <w:r>
        <w:rPr>
          <w:rFonts w:hint="eastAsia"/>
          <w:b w:val="0"/>
          <w:bCs/>
          <w:lang w:val="en-US" w:eastAsia="zh-CN"/>
        </w:rPr>
        <w:t>三、政府性基金预算拨款支出情况</w:t>
      </w:r>
    </w:p>
    <w:bookmarkEnd w:id="21"/>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本单位2025年度没有使用政府性基金预算拨款安排的支出。</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675" w:leftChars="0" w:hanging="675" w:firstLineChars="0"/>
        <w:textAlignment w:val="auto"/>
        <w:rPr>
          <w:rFonts w:hint="default" w:ascii="Calibri" w:hAnsi="Calibri" w:eastAsia="黑体" w:cs="Times New Roman"/>
          <w:b w:val="0"/>
          <w:bCs/>
          <w:kern w:val="44"/>
          <w:sz w:val="32"/>
          <w:szCs w:val="22"/>
          <w:lang w:val="en-US" w:eastAsia="zh-CN" w:bidi="ar-SA"/>
        </w:rPr>
      </w:pPr>
      <w:bookmarkStart w:id="22" w:name="_Toc8648"/>
      <w:r>
        <w:rPr>
          <w:rFonts w:hint="eastAsia" w:cs="Times New Roman"/>
          <w:b w:val="0"/>
          <w:bCs/>
          <w:kern w:val="44"/>
          <w:sz w:val="32"/>
          <w:szCs w:val="22"/>
          <w:lang w:val="en-US" w:eastAsia="zh-CN" w:bidi="ar-SA"/>
        </w:rPr>
        <w:t>四、国有资本经营预算拨款支出情况</w:t>
      </w:r>
      <w:bookmarkEnd w:id="22"/>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本单位2025年度没有使用国有资本经营预算拨款安排的支出。</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b w:val="0"/>
          <w:bCs/>
        </w:rPr>
      </w:pPr>
      <w:bookmarkStart w:id="23" w:name="_Toc7326"/>
      <w:r>
        <w:rPr>
          <w:rFonts w:hint="eastAsia"/>
          <w:b w:val="0"/>
          <w:bCs/>
        </w:rPr>
        <w:t>五、一般公共预算基本支出情况</w:t>
      </w:r>
      <w:bookmarkEnd w:id="23"/>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
          <w:sz w:val="32"/>
          <w:lang w:eastAsia="zh-CN"/>
        </w:rPr>
        <w:t>2025</w:t>
      </w:r>
      <w:r>
        <w:rPr>
          <w:rFonts w:ascii="仿宋" w:hAnsi="仿宋" w:eastAsia="仿宋" w:cs="仿宋"/>
          <w:sz w:val="32"/>
        </w:rPr>
        <w:t>年度一般公共预算拨款基本支出</w:t>
      </w:r>
      <w:r>
        <w:rPr>
          <w:rFonts w:hint="eastAsia" w:ascii="仿宋" w:hAnsi="仿宋" w:eastAsia="仿宋" w:cs="仿宋"/>
          <w:sz w:val="32"/>
          <w:lang w:val="en-US" w:eastAsia="zh-CN"/>
        </w:rPr>
        <w:t>297.54</w:t>
      </w:r>
      <w:r>
        <w:rPr>
          <w:rFonts w:ascii="仿宋" w:hAnsi="仿宋" w:eastAsia="仿宋" w:cs="仿宋"/>
          <w:sz w:val="32"/>
        </w:rPr>
        <w:t>万元，其中：</w:t>
      </w:r>
    </w:p>
    <w:p>
      <w:pPr>
        <w:keepNext w:val="0"/>
        <w:keepLines w:val="0"/>
        <w:pageBreakBefore w:val="0"/>
        <w:widowControl w:val="0"/>
        <w:numPr>
          <w:ilvl w:val="0"/>
          <w:numId w:val="0"/>
        </w:numPr>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kern w:val="2"/>
          <w:sz w:val="32"/>
          <w:szCs w:val="22"/>
          <w:lang w:val="en-US" w:eastAsia="zh-CN" w:bidi="ar-SA"/>
        </w:rPr>
        <w:t>（一）</w:t>
      </w:r>
      <w:r>
        <w:rPr>
          <w:rFonts w:hint="eastAsia" w:ascii="仿宋" w:hAnsi="仿宋" w:eastAsia="仿宋" w:cs="仿宋"/>
          <w:sz w:val="32"/>
          <w:lang w:val="en-US" w:eastAsia="zh-CN"/>
        </w:rPr>
        <w:t>人员经费</w:t>
      </w:r>
      <w:r>
        <w:rPr>
          <w:rFonts w:ascii="仿宋" w:hAnsi="仿宋" w:eastAsia="仿宋" w:cs="仿宋"/>
          <w:sz w:val="32"/>
          <w:u w:color="auto"/>
        </w:rPr>
        <w:t>285.98万元。主要包括：</w:t>
      </w:r>
      <w:r>
        <w:rPr>
          <w:rFonts w:hint="eastAsia" w:ascii="仿宋" w:hAnsi="仿宋" w:eastAsia="仿宋" w:cs="仿宋_GB2312"/>
          <w:sz w:val="32"/>
          <w:szCs w:val="32"/>
        </w:rPr>
        <w:t>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（二）公用经费</w:t>
      </w:r>
      <w:r>
        <w:rPr>
          <w:rFonts w:ascii="仿宋" w:hAnsi="仿宋" w:eastAsia="仿宋" w:cs="仿宋"/>
          <w:sz w:val="32"/>
          <w:u w:color="auto"/>
        </w:rPr>
        <w:t>11.56万元。主要包括：</w:t>
      </w:r>
      <w:r>
        <w:rPr>
          <w:rFonts w:hint="eastAsia" w:ascii="仿宋" w:hAnsi="仿宋" w:eastAsia="仿宋" w:cs="仿宋_GB2312"/>
          <w:sz w:val="32"/>
          <w:szCs w:val="32"/>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b w:val="0"/>
          <w:bCs/>
        </w:rPr>
      </w:pPr>
      <w:bookmarkStart w:id="24" w:name="_Toc18937"/>
      <w:r>
        <w:rPr>
          <w:rFonts w:hint="eastAsia"/>
          <w:b w:val="0"/>
          <w:bCs/>
        </w:rPr>
        <w:t>六、一般公共预算“三公”经费支出情况</w:t>
      </w:r>
      <w:bookmarkEnd w:id="24"/>
    </w:p>
    <w:p>
      <w:pPr>
        <w:widowControl/>
        <w:adjustRightInd w:val="0"/>
        <w:snapToGrid w:val="0"/>
        <w:spacing w:line="600" w:lineRule="exact"/>
        <w:ind w:firstLine="660"/>
        <w:rPr>
          <w:rFonts w:hint="eastAsia" w:ascii="楷体" w:hAnsi="楷体" w:eastAsia="楷体" w:cs="楷体"/>
          <w:b/>
          <w:bCs/>
          <w:kern w:val="0"/>
          <w:sz w:val="32"/>
          <w:szCs w:val="32"/>
        </w:rPr>
      </w:pPr>
      <w:r>
        <w:rPr>
          <w:rFonts w:hint="eastAsia" w:ascii="楷体" w:hAnsi="楷体" w:eastAsia="楷体" w:cs="楷体"/>
          <w:b/>
          <w:bCs/>
          <w:kern w:val="0"/>
          <w:sz w:val="32"/>
          <w:szCs w:val="32"/>
        </w:rPr>
        <w:t>（一）因公出国（境）经费</w:t>
      </w:r>
    </w:p>
    <w:p>
      <w:pPr>
        <w:widowControl/>
        <w:wordWrap w:val="0"/>
        <w:adjustRightInd w:val="0"/>
        <w:snapToGrid w:val="0"/>
        <w:spacing w:line="600" w:lineRule="exact"/>
        <w:ind w:firstLine="658"/>
        <w:jc w:val="left"/>
        <w:rPr>
          <w:rFonts w:hint="default" w:ascii="仿宋" w:hAnsi="仿宋" w:eastAsia="仿宋" w:cs="仿宋"/>
          <w:sz w:val="32"/>
          <w:lang w:val="en-US" w:eastAsia="zh-CN"/>
        </w:rPr>
      </w:pPr>
      <w:r>
        <w:rPr>
          <w:rFonts w:hint="eastAsia" w:ascii="仿宋" w:hAnsi="仿宋" w:eastAsia="仿宋" w:cs="仿宋"/>
          <w:sz w:val="32"/>
          <w:lang w:eastAsia="zh-CN"/>
        </w:rPr>
        <w:t>2025</w:t>
      </w:r>
      <w:r>
        <w:rPr>
          <w:rFonts w:ascii="仿宋" w:hAnsi="仿宋" w:eastAsia="仿宋" w:cs="仿宋"/>
          <w:sz w:val="32"/>
          <w:u w:val="none" w:color="auto"/>
        </w:rPr>
        <w:t>年预算安排</w:t>
      </w:r>
      <w:r>
        <w:rPr>
          <w:rFonts w:hint="eastAsia" w:ascii="仿宋" w:hAnsi="仿宋" w:eastAsia="仿宋" w:cs="仿宋"/>
          <w:sz w:val="32"/>
          <w:lang w:val="en-US" w:eastAsia="zh-CN"/>
        </w:rPr>
        <w:t>0</w:t>
      </w:r>
      <w:r>
        <w:rPr>
          <w:rFonts w:hint="eastAsia" w:ascii="仿宋" w:hAnsi="仿宋" w:eastAsia="仿宋" w:cs="仿宋"/>
          <w:sz w:val="32"/>
          <w:lang w:eastAsia="zh-CN"/>
        </w:rPr>
        <w:t>万元，</w:t>
      </w:r>
      <w:r>
        <w:rPr>
          <w:rFonts w:hint="eastAsia" w:ascii="仿宋" w:hAnsi="仿宋" w:eastAsia="仿宋" w:cs="仿宋"/>
          <w:sz w:val="32"/>
          <w:lang w:val="en-US" w:eastAsia="zh-CN"/>
        </w:rPr>
        <w:t>与上年持平</w:t>
      </w:r>
      <w:r>
        <w:rPr>
          <w:rFonts w:hint="eastAsia" w:ascii="仿宋" w:hAnsi="仿宋" w:eastAsia="仿宋" w:cs="仿宋"/>
          <w:sz w:val="32"/>
          <w:lang w:eastAsia="zh-CN"/>
        </w:rPr>
        <w:t>。</w:t>
      </w:r>
    </w:p>
    <w:p>
      <w:pPr>
        <w:widowControl/>
        <w:adjustRightInd w:val="0"/>
        <w:snapToGrid w:val="0"/>
        <w:spacing w:line="600" w:lineRule="exact"/>
        <w:ind w:firstLine="660"/>
        <w:rPr>
          <w:rFonts w:hint="eastAsia" w:ascii="楷体" w:hAnsi="楷体" w:eastAsia="楷体" w:cs="楷体"/>
          <w:b/>
          <w:bCs/>
          <w:kern w:val="0"/>
          <w:sz w:val="32"/>
          <w:szCs w:val="32"/>
        </w:rPr>
      </w:pPr>
      <w:r>
        <w:rPr>
          <w:rFonts w:hint="eastAsia" w:ascii="楷体" w:hAnsi="楷体" w:eastAsia="楷体" w:cs="楷体"/>
          <w:b/>
          <w:bCs/>
          <w:kern w:val="0"/>
          <w:sz w:val="32"/>
          <w:szCs w:val="32"/>
        </w:rPr>
        <w:t>（二）公务接待费</w:t>
      </w:r>
    </w:p>
    <w:p>
      <w:pPr>
        <w:keepNext w:val="0"/>
        <w:keepLines w:val="0"/>
        <w:pageBreakBefore w:val="0"/>
        <w:widowControl/>
        <w:kinsoku/>
        <w:wordWrap w:val="0"/>
        <w:overflowPunct/>
        <w:topLinePunct w:val="0"/>
        <w:autoSpaceDE/>
        <w:autoSpaceDN/>
        <w:bidi w:val="0"/>
        <w:adjustRightInd w:val="0"/>
        <w:snapToGrid w:val="0"/>
        <w:spacing w:line="600" w:lineRule="exact"/>
        <w:ind w:firstLine="658"/>
        <w:jc w:val="left"/>
        <w:textAlignment w:val="auto"/>
        <w:rPr>
          <w:rFonts w:hint="default" w:ascii="仿宋" w:hAnsi="仿宋" w:eastAsia="仿宋" w:cs="仿宋"/>
          <w:sz w:val="32"/>
          <w:lang w:val="en-US" w:eastAsia="zh-CN"/>
        </w:rPr>
      </w:pPr>
      <w:r>
        <w:rPr>
          <w:rFonts w:hint="eastAsia" w:ascii="仿宋" w:hAnsi="仿宋" w:eastAsia="仿宋" w:cs="仿宋"/>
          <w:sz w:val="32"/>
          <w:lang w:eastAsia="zh-CN"/>
        </w:rPr>
        <w:t>2025</w:t>
      </w:r>
      <w:r>
        <w:rPr>
          <w:rFonts w:ascii="仿宋" w:hAnsi="仿宋" w:eastAsia="仿宋" w:cs="仿宋"/>
          <w:sz w:val="32"/>
          <w:u w:val="none" w:color="auto"/>
        </w:rPr>
        <w:t>年预算安排</w:t>
      </w:r>
      <w:r>
        <w:rPr>
          <w:rFonts w:hint="eastAsia" w:ascii="仿宋" w:hAnsi="仿宋" w:eastAsia="仿宋" w:cs="仿宋"/>
          <w:sz w:val="32"/>
          <w:lang w:val="en-US" w:eastAsia="zh-CN"/>
        </w:rPr>
        <w:t>0</w:t>
      </w:r>
      <w:r>
        <w:rPr>
          <w:rFonts w:hint="eastAsia" w:ascii="仿宋" w:hAnsi="仿宋" w:eastAsia="仿宋" w:cs="仿宋"/>
          <w:sz w:val="32"/>
          <w:lang w:eastAsia="zh-CN"/>
        </w:rPr>
        <w:t>万元，</w:t>
      </w:r>
      <w:r>
        <w:rPr>
          <w:rFonts w:hint="eastAsia" w:ascii="仿宋" w:hAnsi="仿宋" w:eastAsia="仿宋" w:cs="仿宋"/>
          <w:sz w:val="32"/>
          <w:lang w:val="en-US" w:eastAsia="zh-CN"/>
        </w:rPr>
        <w:t>与上年持平</w:t>
      </w:r>
      <w:r>
        <w:rPr>
          <w:rFonts w:hint="eastAsia" w:ascii="仿宋" w:hAnsi="仿宋" w:eastAsia="仿宋" w:cs="仿宋"/>
          <w:sz w:val="32"/>
        </w:rPr>
        <w:t>。</w:t>
      </w:r>
    </w:p>
    <w:p>
      <w:pPr>
        <w:widowControl/>
        <w:adjustRightInd w:val="0"/>
        <w:snapToGrid w:val="0"/>
        <w:spacing w:line="600" w:lineRule="exact"/>
        <w:ind w:firstLine="660"/>
        <w:rPr>
          <w:rFonts w:hint="eastAsia" w:ascii="楷体" w:hAnsi="楷体" w:eastAsia="楷体" w:cs="楷体"/>
          <w:b/>
          <w:bCs/>
          <w:kern w:val="0"/>
          <w:sz w:val="32"/>
          <w:szCs w:val="32"/>
        </w:rPr>
      </w:pPr>
      <w:r>
        <w:rPr>
          <w:rFonts w:hint="eastAsia" w:ascii="楷体" w:hAnsi="楷体" w:eastAsia="楷体" w:cs="楷体"/>
          <w:b/>
          <w:bCs/>
          <w:kern w:val="0"/>
          <w:sz w:val="32"/>
          <w:szCs w:val="32"/>
        </w:rPr>
        <w:t>（三）公务用车购置及运行费</w:t>
      </w:r>
    </w:p>
    <w:p>
      <w:pPr>
        <w:widowControl/>
        <w:wordWrap w:val="0"/>
        <w:adjustRightInd w:val="0"/>
        <w:snapToGrid w:val="0"/>
        <w:spacing w:line="600" w:lineRule="exact"/>
        <w:ind w:firstLine="658"/>
        <w:jc w:val="left"/>
        <w:rPr>
          <w:rFonts w:hint="default" w:ascii="仿宋" w:hAnsi="仿宋" w:eastAsia="仿宋" w:cs="仿宋_GB2312"/>
          <w:kern w:val="0"/>
          <w:sz w:val="32"/>
          <w:szCs w:val="32"/>
          <w:lang w:val="en-US"/>
        </w:rPr>
      </w:pPr>
      <w:r>
        <w:rPr>
          <w:rFonts w:hint="eastAsia" w:ascii="仿宋" w:hAnsi="仿宋" w:eastAsia="仿宋" w:cs="仿宋"/>
          <w:sz w:val="32"/>
          <w:lang w:eastAsia="zh-CN"/>
        </w:rPr>
        <w:t>2025</w:t>
      </w:r>
      <w:r>
        <w:rPr>
          <w:rFonts w:ascii="仿宋" w:hAnsi="仿宋" w:eastAsia="仿宋" w:cs="仿宋"/>
          <w:sz w:val="32"/>
        </w:rPr>
        <w:t>年预算安排</w:t>
      </w:r>
      <w:r>
        <w:rPr>
          <w:rFonts w:hint="eastAsia" w:ascii="仿宋" w:hAnsi="仿宋" w:eastAsia="仿宋" w:cs="仿宋"/>
          <w:sz w:val="32"/>
          <w:lang w:val="en-US" w:eastAsia="zh-CN"/>
        </w:rPr>
        <w:t>0.6</w:t>
      </w:r>
      <w:r>
        <w:rPr>
          <w:rFonts w:ascii="仿宋" w:hAnsi="仿宋" w:eastAsia="仿宋" w:cs="仿宋"/>
          <w:sz w:val="32"/>
        </w:rPr>
        <w:t>万元，其中：公务用车运行费</w:t>
      </w:r>
      <w:r>
        <w:rPr>
          <w:rFonts w:hint="eastAsia" w:ascii="仿宋" w:hAnsi="仿宋" w:eastAsia="仿宋" w:cs="仿宋"/>
          <w:sz w:val="32"/>
          <w:lang w:val="en-US" w:eastAsia="zh-CN"/>
        </w:rPr>
        <w:t>0.6</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；公务用车购置费</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w:t>
      </w:r>
      <w:r>
        <w:rPr>
          <w:rFonts w:ascii="仿宋" w:hAnsi="仿宋" w:eastAsia="仿宋" w:cs="仿宋"/>
          <w:sz w:val="32"/>
          <w:u w:color="auto"/>
        </w:rPr>
        <w:t>主要原因是:公务用车运行加油费。</w:t>
      </w:r>
    </w:p>
    <w:p>
      <w:pPr>
        <w:pStyle w:val="2"/>
        <w:spacing w:before="0" w:after="0"/>
        <w:rPr>
          <w:rFonts w:hint="eastAsia"/>
          <w:b w:val="0"/>
          <w:bCs/>
        </w:rPr>
        <w:sectPr>
          <w:pgSz w:w="11906" w:h="16838"/>
          <w:pgMar w:top="1440" w:right="1797" w:bottom="1440" w:left="1797" w:header="851" w:footer="992" w:gutter="0"/>
          <w:pgNumType w:fmt="decimal"/>
          <w:cols w:space="720" w:num="1"/>
          <w:rtlGutter w:val="0"/>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b w:val="0"/>
          <w:bCs/>
        </w:rPr>
      </w:pPr>
      <w:bookmarkStart w:id="25" w:name="_Toc30658"/>
      <w:r>
        <w:rPr>
          <w:rFonts w:hint="eastAsia"/>
          <w:b w:val="0"/>
          <w:bCs/>
        </w:rPr>
        <w:t>七、预算绩效目标情况</w:t>
      </w:r>
      <w:bookmarkEnd w:id="25"/>
    </w:p>
    <w:p>
      <w:pPr>
        <w:spacing w:line="590" w:lineRule="exact"/>
        <w:ind w:firstLine="630" w:firstLineChars="196"/>
        <w:rPr>
          <w:rFonts w:hint="eastAsia" w:ascii="仿宋" w:hAnsi="仿宋" w:eastAsia="仿宋" w:cs="仿宋"/>
          <w:b/>
          <w:bCs/>
          <w:sz w:val="32"/>
          <w:lang w:val="en-US" w:eastAsia="zh-CN"/>
        </w:rPr>
      </w:pPr>
      <w:r>
        <w:rPr>
          <w:rFonts w:hint="eastAsia" w:ascii="楷体" w:hAnsi="楷体" w:eastAsia="楷体" w:cstheme="minorBidi"/>
          <w:b/>
          <w:sz w:val="32"/>
          <w:szCs w:val="32"/>
          <w:lang w:val="en-US" w:eastAsia="zh-CN" w:bidi="ar-SA"/>
        </w:rPr>
        <w:t>（一）绩效目标设置情况</w:t>
      </w:r>
    </w:p>
    <w:p>
      <w:pPr>
        <w:wordWrap w:val="0"/>
        <w:spacing w:line="240" w:lineRule="auto"/>
        <w:ind w:firstLine="420" w:firstLineChars="0"/>
        <w:rPr>
          <w:rFonts w:ascii="仿宋" w:hAnsi="仿宋" w:eastAsia="仿宋" w:cs="仿宋"/>
          <w:sz w:val="32"/>
        </w:rPr>
      </w:pPr>
      <w:r>
        <w:rPr>
          <w:rFonts w:hint="eastAsia" w:ascii="仿宋" w:hAnsi="仿宋" w:eastAsia="仿宋" w:cs="仿宋_GB2312"/>
          <w:kern w:val="0"/>
          <w:sz w:val="32"/>
          <w:szCs w:val="32"/>
          <w:lang w:val="en-US" w:eastAsia="zh-CN"/>
        </w:rPr>
        <w:t>2025</w:t>
      </w:r>
      <w:r>
        <w:rPr>
          <w:rFonts w:hint="eastAsia" w:ascii="仿宋" w:hAnsi="仿宋" w:eastAsia="仿宋" w:cs="仿宋_GB2312"/>
          <w:kern w:val="0"/>
          <w:sz w:val="32"/>
          <w:szCs w:val="32"/>
        </w:rPr>
        <w:t>年，</w:t>
      </w:r>
      <w:r>
        <w:rPr>
          <w:rFonts w:hint="eastAsia" w:ascii="仿宋" w:hAnsi="仿宋" w:eastAsia="仿宋" w:cs="仿宋_GB2312"/>
          <w:kern w:val="0"/>
          <w:sz w:val="32"/>
          <w:szCs w:val="32"/>
          <w:lang w:val="en-US" w:eastAsia="zh-CN"/>
        </w:rPr>
        <w:t>莆田市荔城区西天尾工业园服务中心</w:t>
      </w:r>
      <w:r>
        <w:rPr>
          <w:rFonts w:hint="eastAsia" w:ascii="仿宋" w:hAnsi="仿宋" w:eastAsia="仿宋" w:cs="仿宋_GB2312"/>
          <w:kern w:val="0"/>
          <w:sz w:val="32"/>
          <w:szCs w:val="32"/>
        </w:rPr>
        <w:t>按照全面实施预算绩效管理的要求，编制绩效目标并公开</w:t>
      </w:r>
      <w:r>
        <w:rPr>
          <w:rFonts w:hint="eastAsia" w:ascii="仿宋" w:hAnsi="仿宋" w:eastAsia="仿宋" w:cs="仿宋_GB2312"/>
          <w:kern w:val="0"/>
          <w:sz w:val="32"/>
          <w:szCs w:val="32"/>
          <w:lang w:eastAsia="zh-CN"/>
        </w:rPr>
        <w:t>。</w:t>
      </w:r>
    </w:p>
    <w:p>
      <w:pPr>
        <w:spacing w:line="590" w:lineRule="exact"/>
        <w:ind w:firstLine="630" w:firstLineChars="196"/>
        <w:rPr>
          <w:rFonts w:hint="eastAsia" w:ascii="楷体" w:hAnsi="楷体" w:eastAsia="楷体" w:cstheme="minorBidi"/>
          <w:b/>
          <w:sz w:val="32"/>
          <w:szCs w:val="32"/>
          <w:lang w:val="en-US" w:eastAsia="zh-CN" w:bidi="ar-SA"/>
        </w:rPr>
      </w:pPr>
      <w:r>
        <w:rPr>
          <w:rFonts w:hint="eastAsia" w:ascii="楷体" w:hAnsi="楷体" w:eastAsia="楷体" w:cstheme="minorBidi"/>
          <w:b/>
          <w:sz w:val="32"/>
          <w:szCs w:val="32"/>
          <w:lang w:val="en-US" w:eastAsia="zh-CN" w:bidi="ar-SA"/>
        </w:rPr>
        <w:t>（二）绩效目标表及说明</w:t>
      </w:r>
    </w:p>
    <w:p>
      <w:pPr>
        <w:bidi w:val="0"/>
        <w:ind w:left="420" w:leftChars="0" w:firstLine="420" w:firstLineChars="0"/>
        <w:rPr>
          <w:rFonts w:hint="eastAsia"/>
          <w:lang w:val="en-US" w:eastAsia="zh-CN"/>
        </w:rPr>
      </w:pPr>
      <w:r>
        <w:rPr>
          <w:rFonts w:hint="eastAsia" w:ascii="仿宋" w:hAnsi="仿宋" w:eastAsia="仿宋" w:cs="仿宋"/>
          <w:b/>
          <w:bCs/>
          <w:sz w:val="32"/>
          <w:szCs w:val="32"/>
          <w:lang w:val="en-US" w:eastAsia="zh-CN"/>
        </w:rPr>
        <w:t>1.项目支出绩效目标表</w:t>
      </w:r>
    </w:p>
    <w:tbl>
      <w:tblPr>
        <w:tblStyle w:val="8"/>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871"/>
        <w:gridCol w:w="187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354" w:type="dxa"/>
            <w:gridSpan w:val="5"/>
            <w:noWrap w:val="0"/>
            <w:vAlign w:val="top"/>
          </w:tcPr>
          <w:p>
            <w:pPr>
              <w:widowControl w:val="0"/>
              <w:jc w:val="center"/>
              <w:rPr>
                <w:rFonts w:ascii="Calibri" w:hAnsi="Calibri" w:eastAsia="宋体" w:cs="Times New Roman"/>
                <w:kern w:val="2"/>
                <w:sz w:val="21"/>
                <w:szCs w:val="22"/>
                <w:lang w:val="en-US" w:eastAsia="zh-CN" w:bidi="ar-SA"/>
              </w:rPr>
            </w:pPr>
            <w:r>
              <w:rPr>
                <w:rFonts w:hint="eastAsia" w:ascii="黑体" w:hAnsi="黑体" w:eastAsia="黑体" w:cs="黑体"/>
                <w:b w:val="0"/>
                <w:i w:val="0"/>
                <w:kern w:val="2"/>
                <w:sz w:val="32"/>
                <w:szCs w:val="32"/>
                <w:u w:val="none"/>
                <w:lang w:val="en-US" w:eastAsia="zh-CN" w:bidi="ar-SA"/>
              </w:rPr>
              <w:t>莆田市荔城区荔兴投资有限公司增加注册资本金项目绩效目标表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vMerge w:val="restart"/>
            <w:noWrap w:val="0"/>
            <w:vAlign w:val="center"/>
          </w:tcPr>
          <w:p>
            <w:pPr>
              <w:widowControl w:val="0"/>
              <w:jc w:val="center"/>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项目资金（万元）</w:t>
            </w:r>
          </w:p>
        </w:tc>
        <w:tc>
          <w:tcPr>
            <w:tcW w:w="3742" w:type="dxa"/>
            <w:gridSpan w:val="2"/>
            <w:noWrap w:val="0"/>
            <w:vAlign w:val="center"/>
          </w:tcPr>
          <w:p>
            <w:pPr>
              <w:widowControl w:val="0"/>
              <w:jc w:val="left"/>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资金总额：</w:t>
            </w:r>
          </w:p>
        </w:tc>
        <w:tc>
          <w:tcPr>
            <w:tcW w:w="3742" w:type="dxa"/>
            <w:gridSpan w:val="2"/>
            <w:noWrap w:val="0"/>
            <w:vAlign w:val="center"/>
          </w:tcPr>
          <w:p>
            <w:pPr>
              <w:widowControl w:val="0"/>
              <w:jc w:val="center"/>
              <w:rPr>
                <w:rFonts w:ascii="Calibri" w:hAnsi="Calibri" w:eastAsia="宋体" w:cs="Times New Roman"/>
                <w:kern w:val="2"/>
                <w:sz w:val="21"/>
                <w:szCs w:val="22"/>
                <w:lang w:val="en-US" w:eastAsia="zh-CN" w:bidi="ar-SA"/>
              </w:rPr>
            </w:pPr>
            <w:r>
              <w:rPr>
                <w:rFonts w:hint="eastAsia" w:ascii="宋体" w:cs="Times New Roman"/>
                <w:b w:val="0"/>
                <w:i w:val="0"/>
                <w:kern w:val="2"/>
                <w:sz w:val="22"/>
                <w:szCs w:val="22"/>
                <w:u w:val="none"/>
                <w:lang w:val="en-US" w:eastAsia="zh-CN" w:bidi="ar-SA"/>
              </w:rPr>
              <w:t>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vMerge w:val="continue"/>
            <w:noWrap w:val="0"/>
            <w:vAlign w:val="center"/>
          </w:tcPr>
          <w:p>
            <w:pPr>
              <w:widowControl w:val="0"/>
              <w:jc w:val="center"/>
              <w:rPr>
                <w:rFonts w:ascii="Calibri" w:hAnsi="Calibri" w:eastAsia="宋体" w:cs="Times New Roman"/>
                <w:kern w:val="2"/>
                <w:sz w:val="21"/>
                <w:szCs w:val="22"/>
                <w:lang w:val="en-US" w:eastAsia="zh-CN" w:bidi="ar-SA"/>
              </w:rPr>
            </w:pPr>
          </w:p>
        </w:tc>
        <w:tc>
          <w:tcPr>
            <w:tcW w:w="3742" w:type="dxa"/>
            <w:gridSpan w:val="2"/>
            <w:noWrap w:val="0"/>
            <w:vAlign w:val="center"/>
          </w:tcPr>
          <w:p>
            <w:pPr>
              <w:widowControl w:val="0"/>
              <w:jc w:val="left"/>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财政拨款：</w:t>
            </w:r>
          </w:p>
        </w:tc>
        <w:tc>
          <w:tcPr>
            <w:tcW w:w="3742" w:type="dxa"/>
            <w:gridSpan w:val="2"/>
            <w:noWrap w:val="0"/>
            <w:vAlign w:val="center"/>
          </w:tcPr>
          <w:p>
            <w:pPr>
              <w:widowControl w:val="0"/>
              <w:jc w:val="center"/>
              <w:rPr>
                <w:rFonts w:ascii="Calibri" w:hAnsi="Calibri" w:eastAsia="宋体" w:cs="Times New Roman"/>
                <w:kern w:val="2"/>
                <w:sz w:val="21"/>
                <w:szCs w:val="22"/>
                <w:lang w:val="en-US" w:eastAsia="zh-CN" w:bidi="ar-SA"/>
              </w:rPr>
            </w:pPr>
            <w:r>
              <w:rPr>
                <w:rFonts w:hint="eastAsia" w:ascii="宋体" w:cs="Times New Roman"/>
                <w:b w:val="0"/>
                <w:i w:val="0"/>
                <w:kern w:val="2"/>
                <w:sz w:val="22"/>
                <w:szCs w:val="22"/>
                <w:u w:val="none"/>
                <w:lang w:val="en-US" w:eastAsia="zh-CN" w:bidi="ar-SA"/>
              </w:rPr>
              <w:t>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vMerge w:val="continue"/>
            <w:noWrap w:val="0"/>
            <w:vAlign w:val="center"/>
          </w:tcPr>
          <w:p>
            <w:pPr>
              <w:widowControl w:val="0"/>
              <w:jc w:val="center"/>
              <w:rPr>
                <w:rFonts w:ascii="Calibri" w:hAnsi="Calibri" w:eastAsia="宋体" w:cs="Times New Roman"/>
                <w:kern w:val="2"/>
                <w:sz w:val="21"/>
                <w:szCs w:val="22"/>
                <w:lang w:val="en-US" w:eastAsia="zh-CN" w:bidi="ar-SA"/>
              </w:rPr>
            </w:pPr>
          </w:p>
        </w:tc>
        <w:tc>
          <w:tcPr>
            <w:tcW w:w="3742" w:type="dxa"/>
            <w:gridSpan w:val="2"/>
            <w:noWrap w:val="0"/>
            <w:vAlign w:val="center"/>
          </w:tcPr>
          <w:p>
            <w:pPr>
              <w:widowControl w:val="0"/>
              <w:jc w:val="center"/>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其中：当年财政拨款：</w:t>
            </w:r>
          </w:p>
        </w:tc>
        <w:tc>
          <w:tcPr>
            <w:tcW w:w="3742" w:type="dxa"/>
            <w:gridSpan w:val="2"/>
            <w:noWrap w:val="0"/>
            <w:vAlign w:val="center"/>
          </w:tcPr>
          <w:p>
            <w:pPr>
              <w:widowControl w:val="0"/>
              <w:jc w:val="center"/>
              <w:rPr>
                <w:rFonts w:ascii="Calibri" w:hAnsi="Calibri" w:eastAsia="宋体" w:cs="Times New Roman"/>
                <w:kern w:val="2"/>
                <w:sz w:val="21"/>
                <w:szCs w:val="22"/>
                <w:lang w:val="en-US" w:eastAsia="zh-CN" w:bidi="ar-SA"/>
              </w:rPr>
            </w:pPr>
            <w:r>
              <w:rPr>
                <w:rFonts w:hint="eastAsia" w:ascii="宋体" w:cs="Times New Roman"/>
                <w:b w:val="0"/>
                <w:i w:val="0"/>
                <w:kern w:val="2"/>
                <w:sz w:val="22"/>
                <w:szCs w:val="22"/>
                <w:u w:val="none"/>
                <w:lang w:val="en-US" w:eastAsia="zh-CN" w:bidi="ar-SA"/>
              </w:rPr>
              <w:t>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vMerge w:val="continue"/>
            <w:noWrap w:val="0"/>
            <w:vAlign w:val="center"/>
          </w:tcPr>
          <w:p>
            <w:pPr>
              <w:widowControl w:val="0"/>
              <w:jc w:val="center"/>
              <w:rPr>
                <w:rFonts w:ascii="Calibri" w:hAnsi="Calibri" w:eastAsia="宋体" w:cs="Times New Roman"/>
                <w:kern w:val="2"/>
                <w:sz w:val="21"/>
                <w:szCs w:val="22"/>
                <w:lang w:val="en-US" w:eastAsia="zh-CN" w:bidi="ar-SA"/>
              </w:rPr>
            </w:pPr>
          </w:p>
        </w:tc>
        <w:tc>
          <w:tcPr>
            <w:tcW w:w="3742" w:type="dxa"/>
            <w:gridSpan w:val="2"/>
            <w:noWrap w:val="0"/>
            <w:vAlign w:val="center"/>
          </w:tcPr>
          <w:p>
            <w:pPr>
              <w:widowControl w:val="0"/>
              <w:jc w:val="center"/>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上年结转结余财政拨款：</w:t>
            </w:r>
          </w:p>
        </w:tc>
        <w:tc>
          <w:tcPr>
            <w:tcW w:w="3742" w:type="dxa"/>
            <w:gridSpan w:val="2"/>
            <w:noWrap w:val="0"/>
            <w:vAlign w:val="center"/>
          </w:tcPr>
          <w:p>
            <w:pPr>
              <w:widowControl w:val="0"/>
              <w:jc w:val="center"/>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vMerge w:val="continue"/>
            <w:noWrap w:val="0"/>
            <w:vAlign w:val="center"/>
          </w:tcPr>
          <w:p>
            <w:pPr>
              <w:widowControl w:val="0"/>
              <w:jc w:val="center"/>
              <w:rPr>
                <w:rFonts w:ascii="Calibri" w:hAnsi="Calibri" w:eastAsia="宋体" w:cs="Times New Roman"/>
                <w:kern w:val="2"/>
                <w:sz w:val="21"/>
                <w:szCs w:val="22"/>
                <w:lang w:val="en-US" w:eastAsia="zh-CN" w:bidi="ar-SA"/>
              </w:rPr>
            </w:pPr>
          </w:p>
        </w:tc>
        <w:tc>
          <w:tcPr>
            <w:tcW w:w="3742" w:type="dxa"/>
            <w:gridSpan w:val="2"/>
            <w:noWrap w:val="0"/>
            <w:vAlign w:val="center"/>
          </w:tcPr>
          <w:p>
            <w:pPr>
              <w:widowControl w:val="0"/>
              <w:jc w:val="left"/>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其他资金：</w:t>
            </w:r>
          </w:p>
        </w:tc>
        <w:tc>
          <w:tcPr>
            <w:tcW w:w="3742" w:type="dxa"/>
            <w:gridSpan w:val="2"/>
            <w:noWrap w:val="0"/>
            <w:vAlign w:val="center"/>
          </w:tcPr>
          <w:p>
            <w:pPr>
              <w:widowControl w:val="0"/>
              <w:jc w:val="center"/>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noWrap w:val="0"/>
            <w:vAlign w:val="center"/>
          </w:tcPr>
          <w:p>
            <w:pPr>
              <w:widowControl w:val="0"/>
              <w:jc w:val="center"/>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总体目标</w:t>
            </w:r>
          </w:p>
        </w:tc>
        <w:tc>
          <w:tcPr>
            <w:tcW w:w="7484" w:type="dxa"/>
            <w:gridSpan w:val="4"/>
            <w:noWrap w:val="0"/>
            <w:vAlign w:val="center"/>
          </w:tcPr>
          <w:p>
            <w:pPr>
              <w:widowControl w:val="0"/>
              <w:jc w:val="left"/>
              <w:rPr>
                <w:rFonts w:ascii="Calibri" w:hAnsi="Calibri" w:eastAsia="宋体" w:cs="Times New Roman"/>
                <w:kern w:val="2"/>
                <w:sz w:val="21"/>
                <w:szCs w:val="22"/>
                <w:lang w:val="en-US" w:eastAsia="zh-CN" w:bidi="ar-SA"/>
              </w:rPr>
            </w:pPr>
            <w:r>
              <w:rPr>
                <w:rFonts w:hint="eastAsia" w:ascii="宋体" w:hAnsi="Calibri" w:eastAsia="宋体" w:cs="Times New Roman"/>
                <w:b w:val="0"/>
                <w:i w:val="0"/>
                <w:kern w:val="2"/>
                <w:sz w:val="22"/>
                <w:szCs w:val="22"/>
                <w:u w:val="none"/>
                <w:lang w:val="en-US" w:eastAsia="zh-CN" w:bidi="ar-SA"/>
              </w:rPr>
              <w:t>莆田市荔城区荔兴投资有限公司增加注册资本金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vMerge w:val="restart"/>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绩效目标指标</w:t>
            </w: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一级指标</w:t>
            </w: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二级指标</w:t>
            </w: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三级指标</w:t>
            </w: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vMerge w:val="continue"/>
            <w:noWrap w:val="0"/>
            <w:vAlign w:val="center"/>
          </w:tcPr>
          <w:p>
            <w:pPr>
              <w:widowControl w:val="0"/>
              <w:jc w:val="both"/>
              <w:rPr>
                <w:rFonts w:ascii="Calibri" w:hAnsi="Calibri" w:eastAsia="宋体" w:cs="Times New Roman"/>
                <w:kern w:val="2"/>
                <w:sz w:val="21"/>
                <w:szCs w:val="22"/>
                <w:lang w:val="en-US" w:eastAsia="zh-CN" w:bidi="ar-SA"/>
              </w:rPr>
            </w:pP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成本指标</w:t>
            </w: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经济成本指标</w:t>
            </w:r>
          </w:p>
        </w:tc>
        <w:tc>
          <w:tcPr>
            <w:tcW w:w="1871" w:type="dxa"/>
            <w:noWrap w:val="0"/>
            <w:vAlign w:val="center"/>
          </w:tcPr>
          <w:p>
            <w:pPr>
              <w:keepNext w:val="0"/>
              <w:keepLines w:val="0"/>
              <w:widowControl/>
              <w:suppressLineNumbers w:val="0"/>
              <w:jc w:val="left"/>
              <w:textAlignment w:val="center"/>
              <w:rPr>
                <w:rFonts w:ascii="Calibri" w:hAnsi="Calibri" w:eastAsia="宋体" w:cs="Times New Roman"/>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资金到位及时率</w:t>
            </w:r>
          </w:p>
        </w:tc>
        <w:tc>
          <w:tcPr>
            <w:tcW w:w="1871" w:type="dxa"/>
            <w:noWrap w:val="0"/>
            <w:vAlign w:val="center"/>
          </w:tcPr>
          <w:p>
            <w:pPr>
              <w:keepNext w:val="0"/>
              <w:keepLines w:val="0"/>
              <w:widowControl/>
              <w:suppressLineNumbers w:val="0"/>
              <w:jc w:val="left"/>
              <w:textAlignment w:val="center"/>
              <w:rPr>
                <w:rFonts w:ascii="Calibri" w:hAnsi="Calibri" w:eastAsia="宋体" w:cs="Times New Roman"/>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vMerge w:val="continue"/>
            <w:noWrap w:val="0"/>
            <w:vAlign w:val="center"/>
          </w:tcPr>
          <w:p>
            <w:pPr>
              <w:widowControl w:val="0"/>
              <w:jc w:val="both"/>
              <w:rPr>
                <w:rFonts w:ascii="Calibri" w:hAnsi="Calibri" w:eastAsia="宋体" w:cs="Times New Roman"/>
                <w:kern w:val="2"/>
                <w:sz w:val="21"/>
                <w:szCs w:val="22"/>
                <w:lang w:val="en-US" w:eastAsia="zh-CN" w:bidi="ar-SA"/>
              </w:rPr>
            </w:pPr>
          </w:p>
        </w:tc>
        <w:tc>
          <w:tcPr>
            <w:tcW w:w="1871" w:type="dxa"/>
            <w:vMerge w:val="restart"/>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产出指标</w:t>
            </w: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数量指标</w:t>
            </w:r>
          </w:p>
        </w:tc>
        <w:tc>
          <w:tcPr>
            <w:tcW w:w="1871" w:type="dxa"/>
            <w:noWrap w:val="0"/>
            <w:vAlign w:val="center"/>
          </w:tcPr>
          <w:p>
            <w:pPr>
              <w:keepNext w:val="0"/>
              <w:keepLines w:val="0"/>
              <w:widowControl/>
              <w:suppressLineNumbers w:val="0"/>
              <w:jc w:val="left"/>
              <w:textAlignment w:val="center"/>
              <w:rPr>
                <w:rFonts w:ascii="Calibri" w:hAnsi="Calibri" w:eastAsia="宋体" w:cs="Times New Roman"/>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经费下拨率</w:t>
            </w:r>
          </w:p>
        </w:tc>
        <w:tc>
          <w:tcPr>
            <w:tcW w:w="1871" w:type="dxa"/>
            <w:noWrap w:val="0"/>
            <w:vAlign w:val="center"/>
          </w:tcPr>
          <w:p>
            <w:pPr>
              <w:keepNext w:val="0"/>
              <w:keepLines w:val="0"/>
              <w:widowControl/>
              <w:suppressLineNumbers w:val="0"/>
              <w:jc w:val="left"/>
              <w:textAlignment w:val="center"/>
              <w:rPr>
                <w:rFonts w:ascii="Calibri" w:hAnsi="Calibri" w:eastAsia="宋体" w:cs="Times New Roman"/>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vMerge w:val="continue"/>
            <w:noWrap w:val="0"/>
            <w:vAlign w:val="center"/>
          </w:tcPr>
          <w:p>
            <w:pPr>
              <w:widowControl w:val="0"/>
              <w:jc w:val="both"/>
              <w:rPr>
                <w:rFonts w:ascii="Calibri" w:hAnsi="Calibri" w:eastAsia="宋体" w:cs="Times New Roman"/>
                <w:kern w:val="2"/>
                <w:sz w:val="21"/>
                <w:szCs w:val="22"/>
                <w:lang w:val="en-US" w:eastAsia="zh-CN" w:bidi="ar-SA"/>
              </w:rPr>
            </w:pPr>
          </w:p>
        </w:tc>
        <w:tc>
          <w:tcPr>
            <w:tcW w:w="1871" w:type="dxa"/>
            <w:vMerge w:val="continue"/>
            <w:noWrap w:val="0"/>
            <w:vAlign w:val="center"/>
          </w:tcPr>
          <w:p>
            <w:pPr>
              <w:widowControl w:val="0"/>
              <w:jc w:val="both"/>
              <w:rPr>
                <w:rFonts w:ascii="Calibri" w:hAnsi="Calibri" w:eastAsia="宋体" w:cs="Times New Roman"/>
                <w:kern w:val="2"/>
                <w:sz w:val="21"/>
                <w:szCs w:val="22"/>
                <w:lang w:val="en-US" w:eastAsia="zh-CN" w:bidi="ar-SA"/>
              </w:rPr>
            </w:pP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质量指标</w:t>
            </w:r>
          </w:p>
        </w:tc>
        <w:tc>
          <w:tcPr>
            <w:tcW w:w="1871" w:type="dxa"/>
            <w:noWrap w:val="0"/>
            <w:vAlign w:val="center"/>
          </w:tcPr>
          <w:p>
            <w:pPr>
              <w:keepNext w:val="0"/>
              <w:keepLines w:val="0"/>
              <w:widowControl/>
              <w:suppressLineNumbers w:val="0"/>
              <w:jc w:val="left"/>
              <w:textAlignment w:val="center"/>
              <w:rPr>
                <w:rFonts w:ascii="Calibri" w:hAnsi="Calibri" w:eastAsia="宋体" w:cs="Times New Roman"/>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购买服务项目按期完成率</w:t>
            </w:r>
          </w:p>
        </w:tc>
        <w:tc>
          <w:tcPr>
            <w:tcW w:w="1871" w:type="dxa"/>
            <w:noWrap w:val="0"/>
            <w:vAlign w:val="center"/>
          </w:tcPr>
          <w:p>
            <w:pPr>
              <w:keepNext w:val="0"/>
              <w:keepLines w:val="0"/>
              <w:widowControl/>
              <w:suppressLineNumbers w:val="0"/>
              <w:jc w:val="left"/>
              <w:textAlignment w:val="center"/>
              <w:rPr>
                <w:rFonts w:ascii="Calibri" w:hAnsi="Calibri" w:eastAsia="宋体" w:cs="Times New Roman"/>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vMerge w:val="continue"/>
            <w:noWrap w:val="0"/>
            <w:vAlign w:val="center"/>
          </w:tcPr>
          <w:p>
            <w:pPr>
              <w:widowControl w:val="0"/>
              <w:jc w:val="both"/>
              <w:rPr>
                <w:rFonts w:ascii="Calibri" w:hAnsi="Calibri" w:eastAsia="宋体" w:cs="Times New Roman"/>
                <w:kern w:val="2"/>
                <w:sz w:val="21"/>
                <w:szCs w:val="22"/>
                <w:lang w:val="en-US" w:eastAsia="zh-CN" w:bidi="ar-SA"/>
              </w:rPr>
            </w:pPr>
          </w:p>
        </w:tc>
        <w:tc>
          <w:tcPr>
            <w:tcW w:w="1871" w:type="dxa"/>
            <w:vMerge w:val="continue"/>
            <w:noWrap w:val="0"/>
            <w:vAlign w:val="center"/>
          </w:tcPr>
          <w:p>
            <w:pPr>
              <w:widowControl w:val="0"/>
              <w:jc w:val="both"/>
              <w:rPr>
                <w:rFonts w:ascii="Calibri" w:hAnsi="Calibri" w:eastAsia="宋体" w:cs="Times New Roman"/>
                <w:kern w:val="2"/>
                <w:sz w:val="21"/>
                <w:szCs w:val="22"/>
                <w:lang w:val="en-US" w:eastAsia="zh-CN" w:bidi="ar-SA"/>
              </w:rPr>
            </w:pP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时效指标</w:t>
            </w:r>
          </w:p>
        </w:tc>
        <w:tc>
          <w:tcPr>
            <w:tcW w:w="1871" w:type="dxa"/>
            <w:noWrap w:val="0"/>
            <w:vAlign w:val="center"/>
          </w:tcPr>
          <w:p>
            <w:pPr>
              <w:keepNext w:val="0"/>
              <w:keepLines w:val="0"/>
              <w:widowControl/>
              <w:suppressLineNumbers w:val="0"/>
              <w:jc w:val="left"/>
              <w:textAlignment w:val="center"/>
              <w:rPr>
                <w:rFonts w:ascii="Calibri" w:hAnsi="Calibri" w:eastAsia="宋体" w:cs="Times New Roman"/>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资金下拨时间</w:t>
            </w:r>
          </w:p>
        </w:tc>
        <w:tc>
          <w:tcPr>
            <w:tcW w:w="1871" w:type="dxa"/>
            <w:noWrap w:val="0"/>
            <w:vAlign w:val="center"/>
          </w:tcPr>
          <w:p>
            <w:pPr>
              <w:keepNext w:val="0"/>
              <w:keepLines w:val="0"/>
              <w:widowControl/>
              <w:suppressLineNumbers w:val="0"/>
              <w:jc w:val="left"/>
              <w:textAlignment w:val="center"/>
              <w:rPr>
                <w:rFonts w:ascii="Calibri" w:hAnsi="Calibri" w:eastAsia="宋体" w:cs="Times New Roman"/>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vMerge w:val="continue"/>
            <w:noWrap w:val="0"/>
            <w:vAlign w:val="center"/>
          </w:tcPr>
          <w:p>
            <w:pPr>
              <w:widowControl w:val="0"/>
              <w:jc w:val="both"/>
              <w:rPr>
                <w:rFonts w:ascii="Calibri" w:hAnsi="Calibri" w:eastAsia="宋体" w:cs="Times New Roman"/>
                <w:kern w:val="2"/>
                <w:sz w:val="21"/>
                <w:szCs w:val="22"/>
                <w:lang w:val="en-US" w:eastAsia="zh-CN" w:bidi="ar-SA"/>
              </w:rPr>
            </w:pP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效益指标</w:t>
            </w: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社会效益指标</w:t>
            </w:r>
          </w:p>
        </w:tc>
        <w:tc>
          <w:tcPr>
            <w:tcW w:w="1871" w:type="dxa"/>
            <w:noWrap w:val="0"/>
            <w:vAlign w:val="center"/>
          </w:tcPr>
          <w:p>
            <w:pPr>
              <w:keepNext w:val="0"/>
              <w:keepLines w:val="0"/>
              <w:widowControl/>
              <w:suppressLineNumbers w:val="0"/>
              <w:jc w:val="left"/>
              <w:textAlignment w:val="center"/>
              <w:rPr>
                <w:rFonts w:ascii="Calibri" w:hAnsi="Calibri" w:eastAsia="宋体" w:cs="Times New Roman"/>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业务经济收入增长率</w:t>
            </w:r>
          </w:p>
        </w:tc>
        <w:tc>
          <w:tcPr>
            <w:tcW w:w="1871" w:type="dxa"/>
            <w:noWrap w:val="0"/>
            <w:vAlign w:val="center"/>
          </w:tcPr>
          <w:p>
            <w:pPr>
              <w:keepNext w:val="0"/>
              <w:keepLines w:val="0"/>
              <w:widowControl/>
              <w:suppressLineNumbers w:val="0"/>
              <w:jc w:val="left"/>
              <w:textAlignment w:val="center"/>
              <w:rPr>
                <w:rFonts w:ascii="Calibri" w:hAnsi="Calibri" w:eastAsia="宋体" w:cs="Times New Roman"/>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70" w:type="dxa"/>
            <w:vMerge w:val="continue"/>
            <w:noWrap w:val="0"/>
            <w:vAlign w:val="center"/>
          </w:tcPr>
          <w:p>
            <w:pPr>
              <w:widowControl w:val="0"/>
              <w:jc w:val="both"/>
              <w:rPr>
                <w:rFonts w:ascii="Calibri" w:hAnsi="Calibri" w:eastAsia="宋体" w:cs="Times New Roman"/>
                <w:kern w:val="2"/>
                <w:sz w:val="21"/>
                <w:szCs w:val="22"/>
                <w:lang w:val="en-US" w:eastAsia="zh-CN" w:bidi="ar-SA"/>
              </w:rPr>
            </w:pP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满意度指标</w:t>
            </w:r>
          </w:p>
        </w:tc>
        <w:tc>
          <w:tcPr>
            <w:tcW w:w="1871" w:type="dxa"/>
            <w:noWrap w:val="0"/>
            <w:vAlign w:val="center"/>
          </w:tcPr>
          <w:p>
            <w:pPr>
              <w:widowControl w:val="0"/>
              <w:jc w:val="both"/>
              <w:rPr>
                <w:rFonts w:ascii="Calibri" w:hAnsi="Calibri" w:eastAsia="宋体" w:cs="Times New Roman"/>
                <w:kern w:val="2"/>
                <w:sz w:val="21"/>
                <w:szCs w:val="22"/>
                <w:lang w:val="en-US" w:eastAsia="zh-CN" w:bidi="ar-SA"/>
              </w:rPr>
            </w:pPr>
            <w:r>
              <w:rPr>
                <w:rFonts w:ascii="宋体" w:hAnsi="Calibri" w:eastAsia="宋体" w:cs="Times New Roman"/>
                <w:b w:val="0"/>
                <w:i w:val="0"/>
                <w:kern w:val="2"/>
                <w:sz w:val="22"/>
                <w:szCs w:val="22"/>
                <w:u w:val="none"/>
                <w:lang w:val="en-US" w:eastAsia="zh-CN" w:bidi="ar-SA"/>
              </w:rPr>
              <w:t>服务对象满意度指标</w:t>
            </w:r>
          </w:p>
        </w:tc>
        <w:tc>
          <w:tcPr>
            <w:tcW w:w="1871" w:type="dxa"/>
            <w:noWrap w:val="0"/>
            <w:vAlign w:val="center"/>
          </w:tcPr>
          <w:p>
            <w:pPr>
              <w:keepNext w:val="0"/>
              <w:keepLines w:val="0"/>
              <w:widowControl/>
              <w:suppressLineNumbers w:val="0"/>
              <w:jc w:val="left"/>
              <w:textAlignment w:val="center"/>
              <w:rPr>
                <w:rFonts w:ascii="Calibri" w:hAnsi="Calibri" w:eastAsia="宋体" w:cs="Times New Roman"/>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设施功能达标率</w:t>
            </w:r>
          </w:p>
        </w:tc>
        <w:tc>
          <w:tcPr>
            <w:tcW w:w="1871" w:type="dxa"/>
            <w:noWrap w:val="0"/>
            <w:vAlign w:val="center"/>
          </w:tcPr>
          <w:p>
            <w:pPr>
              <w:keepNext w:val="0"/>
              <w:keepLines w:val="0"/>
              <w:widowControl/>
              <w:suppressLineNumbers w:val="0"/>
              <w:jc w:val="left"/>
              <w:textAlignment w:val="center"/>
              <w:rPr>
                <w:rFonts w:ascii="Calibri" w:hAnsi="Calibri" w:eastAsia="宋体" w:cs="Times New Roman"/>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14</w:t>
            </w:r>
          </w:p>
        </w:tc>
      </w:tr>
    </w:tbl>
    <w:p>
      <w:pPr>
        <w:rPr>
          <w:rFonts w:hint="eastAsia" w:ascii="楷体" w:hAnsi="楷体" w:eastAsia="楷体" w:cs="楷体"/>
          <w:color w:val="FF0000"/>
          <w:kern w:val="0"/>
          <w:sz w:val="32"/>
          <w:szCs w:val="32"/>
          <w:lang w:eastAsia="zh-CN"/>
        </w:rPr>
      </w:pPr>
      <w:r>
        <w:rPr>
          <w:rFonts w:hint="eastAsia" w:ascii="楷体" w:hAnsi="楷体" w:eastAsia="楷体" w:cs="楷体"/>
          <w:color w:val="FF0000"/>
          <w:kern w:val="0"/>
          <w:sz w:val="32"/>
          <w:szCs w:val="32"/>
          <w:lang w:eastAsia="zh-CN"/>
        </w:rPr>
        <w:br w:type="page"/>
      </w:r>
    </w:p>
    <w:p>
      <w:pPr>
        <w:spacing w:line="590" w:lineRule="exact"/>
        <w:rPr>
          <w:rFonts w:hint="eastAsia" w:ascii="楷体" w:hAnsi="楷体" w:eastAsia="楷体" w:cs="楷体"/>
          <w:color w:val="FF0000"/>
          <w:kern w:val="0"/>
          <w:sz w:val="32"/>
          <w:szCs w:val="32"/>
          <w:lang w:eastAsia="zh-CN"/>
        </w:rPr>
      </w:pPr>
    </w:p>
    <w:p>
      <w:pPr>
        <w:bidi w:val="0"/>
        <w:ind w:firstLine="420" w:firstLineChars="0"/>
      </w:pPr>
      <w:r>
        <w:rPr>
          <w:rFonts w:hint="eastAsia" w:ascii="仿宋" w:hAnsi="仿宋" w:eastAsia="仿宋" w:cs="仿宋"/>
          <w:b/>
          <w:bCs/>
          <w:sz w:val="32"/>
          <w:szCs w:val="32"/>
          <w:lang w:val="en-US" w:eastAsia="zh-CN"/>
        </w:rPr>
        <w:t>2.有关情况说明</w:t>
      </w:r>
    </w:p>
    <w:p>
      <w:pPr>
        <w:wordWrap w:val="0"/>
        <w:spacing w:line="240" w:lineRule="auto"/>
        <w:ind w:firstLine="420" w:firstLineChars="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本部门无其他需要说明的绩效目标情况。</w:t>
      </w:r>
    </w:p>
    <w:bookmarkEnd w:id="0"/>
    <w:p>
      <w:pPr>
        <w:spacing w:line="590" w:lineRule="exact"/>
        <w:ind w:firstLine="640" w:firstLineChars="200"/>
        <w:rPr>
          <w:rFonts w:ascii="仿宋" w:hAnsi="仿宋" w:eastAsia="仿宋" w:cs="仿宋"/>
          <w:sz w:val="32"/>
        </w:rPr>
        <w:sectPr>
          <w:pgSz w:w="11906" w:h="16838"/>
          <w:pgMar w:top="1440" w:right="1797" w:bottom="1440" w:left="1797" w:header="851" w:footer="992" w:gutter="0"/>
          <w:pgNumType w:fmt="decimal"/>
          <w:cols w:space="720" w:num="1"/>
          <w:docGrid w:type="lines" w:linePitch="312" w:charSpace="0"/>
        </w:sectPr>
      </w:pPr>
    </w:p>
    <w:p>
      <w:pPr>
        <w:spacing w:line="590" w:lineRule="exact"/>
        <w:rPr>
          <w:rFonts w:ascii="仿宋" w:hAnsi="仿宋" w:eastAsia="仿宋" w:cs="仿宋"/>
          <w:sz w:val="32"/>
        </w:rPr>
      </w:pP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黑体" w:hAnsi="黑体" w:eastAsia="黑体" w:cs="黑体"/>
          <w:b/>
          <w:sz w:val="28"/>
          <w:szCs w:val="28"/>
        </w:rPr>
      </w:pPr>
      <w:bookmarkStart w:id="26" w:name="_Toc24204"/>
      <w:r>
        <w:rPr>
          <w:rFonts w:hint="eastAsia"/>
          <w:b w:val="0"/>
          <w:bCs/>
        </w:rPr>
        <w:t>八、其他重要事项说明</w:t>
      </w:r>
      <w:bookmarkEnd w:id="26"/>
    </w:p>
    <w:p>
      <w:pPr>
        <w:spacing w:line="600" w:lineRule="exact"/>
        <w:ind w:firstLine="420" w:firstLineChars="0"/>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（一）机关运行经费</w:t>
      </w:r>
    </w:p>
    <w:p>
      <w:pPr>
        <w:spacing w:line="600" w:lineRule="exact"/>
        <w:ind w:firstLine="420" w:firstLineChars="0"/>
        <w:rPr>
          <w:rFonts w:hint="eastAsia" w:ascii="仿宋" w:hAnsi="仿宋" w:eastAsia="仿宋" w:cs="仿宋"/>
          <w:sz w:val="32"/>
          <w:lang w:eastAsia="zh-CN"/>
        </w:rPr>
      </w:pPr>
      <w:r>
        <w:rPr>
          <w:rFonts w:hint="eastAsia" w:ascii="仿宋" w:hAnsi="仿宋" w:eastAsia="仿宋" w:cs="仿宋"/>
          <w:b w:val="0"/>
          <w:bCs/>
          <w:sz w:val="32"/>
          <w:szCs w:val="32"/>
          <w:lang w:val="en-US" w:eastAsia="zh-CN"/>
        </w:rPr>
        <w:t>本单位没有机关运行经费。</w:t>
      </w:r>
    </w:p>
    <w:p>
      <w:pPr>
        <w:spacing w:line="600" w:lineRule="exact"/>
        <w:ind w:firstLine="420" w:firstLineChars="0"/>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（二）政府采购情况</w:t>
      </w:r>
    </w:p>
    <w:p>
      <w:pPr>
        <w:spacing w:line="600" w:lineRule="exact"/>
        <w:ind w:firstLine="420" w:firstLineChars="0"/>
        <w:rPr>
          <w:rFonts w:hint="eastAsia" w:ascii="仿宋" w:hAnsi="仿宋" w:eastAsia="仿宋"/>
          <w:kern w:val="0"/>
          <w:sz w:val="32"/>
          <w:szCs w:val="32"/>
        </w:rPr>
      </w:pPr>
      <w:r>
        <w:rPr>
          <w:rFonts w:hint="eastAsia" w:ascii="仿宋" w:hAnsi="仿宋" w:eastAsia="仿宋"/>
          <w:kern w:val="0"/>
          <w:sz w:val="32"/>
          <w:szCs w:val="32"/>
        </w:rPr>
        <w:t>本单位2025年度没有政府采购预算</w:t>
      </w:r>
    </w:p>
    <w:p>
      <w:pPr>
        <w:spacing w:line="600" w:lineRule="exact"/>
        <w:ind w:firstLine="420" w:firstLineChars="0"/>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（三）国有资产占用使用情况</w:t>
      </w:r>
    </w:p>
    <w:p>
      <w:pPr>
        <w:spacing w:line="600" w:lineRule="exact"/>
        <w:ind w:firstLine="420" w:firstLineChars="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
          <w:sz w:val="32"/>
          <w:lang w:eastAsia="zh-CN"/>
        </w:rPr>
        <w:t>2024</w:t>
      </w:r>
      <w:r>
        <w:rPr>
          <w:rFonts w:hint="eastAsia" w:ascii="仿宋" w:hAnsi="仿宋" w:eastAsia="仿宋" w:cs="仿宋_GB2312"/>
          <w:kern w:val="0"/>
          <w:sz w:val="32"/>
          <w:szCs w:val="32"/>
        </w:rPr>
        <w:t>年12月31日，</w:t>
      </w:r>
      <w:r>
        <w:rPr>
          <w:rFonts w:hint="eastAsia" w:ascii="仿宋" w:hAnsi="仿宋" w:eastAsia="仿宋"/>
          <w:sz w:val="32"/>
          <w:szCs w:val="32"/>
          <w:lang w:val="en-US" w:eastAsia="zh-CN"/>
        </w:rPr>
        <w:t>莆田市荔城区西天尾工业园服务中心</w:t>
      </w:r>
      <w:r>
        <w:rPr>
          <w:rFonts w:ascii="仿宋" w:hAnsi="仿宋" w:eastAsia="仿宋"/>
          <w:sz w:val="32"/>
          <w:u w:color="auto"/>
        </w:rPr>
        <w:t>单位</w:t>
      </w:r>
      <w:r>
        <w:rPr>
          <w:rFonts w:hint="eastAsia" w:ascii="仿宋" w:hAnsi="仿宋" w:eastAsia="仿宋"/>
          <w:sz w:val="32"/>
          <w:szCs w:val="32"/>
        </w:rPr>
        <w:t>共有车辆</w:t>
      </w:r>
      <w:r>
        <w:rPr>
          <w:rFonts w:hint="eastAsia" w:ascii="仿宋" w:hAnsi="仿宋" w:eastAsia="仿宋"/>
          <w:sz w:val="32"/>
          <w:szCs w:val="32"/>
          <w:lang w:val="en-US" w:eastAsia="zh-CN"/>
        </w:rPr>
        <w:t>0</w:t>
      </w:r>
      <w:r>
        <w:rPr>
          <w:rFonts w:hint="eastAsia" w:ascii="仿宋" w:hAnsi="仿宋" w:eastAsia="仿宋"/>
          <w:sz w:val="32"/>
          <w:szCs w:val="32"/>
        </w:rPr>
        <w:t>辆，其中：副部（省）级以上领导用车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辆、主要领导干部用车</w:t>
      </w:r>
      <w:r>
        <w:rPr>
          <w:rFonts w:hint="eastAsia" w:ascii="仿宋" w:hAnsi="仿宋" w:eastAsia="仿宋"/>
          <w:sz w:val="32"/>
          <w:szCs w:val="32"/>
          <w:lang w:val="en-US" w:eastAsia="zh-CN"/>
        </w:rPr>
        <w:t>0</w:t>
      </w:r>
      <w:r>
        <w:rPr>
          <w:rFonts w:hint="eastAsia" w:ascii="仿宋" w:hAnsi="仿宋" w:eastAsia="仿宋"/>
          <w:sz w:val="32"/>
          <w:szCs w:val="32"/>
        </w:rPr>
        <w:t>辆、机要通信用车</w:t>
      </w:r>
      <w:r>
        <w:rPr>
          <w:rFonts w:hint="eastAsia" w:ascii="仿宋" w:hAnsi="仿宋" w:eastAsia="仿宋"/>
          <w:sz w:val="32"/>
          <w:szCs w:val="32"/>
          <w:lang w:val="en-US" w:eastAsia="zh-CN"/>
        </w:rPr>
        <w:t>0</w:t>
      </w:r>
      <w:r>
        <w:rPr>
          <w:rFonts w:hint="eastAsia" w:ascii="仿宋" w:hAnsi="仿宋" w:eastAsia="仿宋"/>
          <w:sz w:val="32"/>
          <w:szCs w:val="32"/>
        </w:rPr>
        <w:t>辆、应急保障用车</w:t>
      </w:r>
      <w:r>
        <w:rPr>
          <w:rFonts w:hint="eastAsia" w:ascii="仿宋" w:hAnsi="仿宋" w:eastAsia="仿宋"/>
          <w:sz w:val="32"/>
          <w:szCs w:val="32"/>
          <w:lang w:val="en-US" w:eastAsia="zh-CN"/>
        </w:rPr>
        <w:t>0</w:t>
      </w:r>
      <w:r>
        <w:rPr>
          <w:rFonts w:hint="eastAsia" w:ascii="仿宋" w:hAnsi="仿宋" w:eastAsia="仿宋"/>
          <w:sz w:val="32"/>
          <w:szCs w:val="32"/>
        </w:rPr>
        <w:t>辆、执法执勤用车</w:t>
      </w:r>
      <w:r>
        <w:rPr>
          <w:rFonts w:hint="eastAsia" w:ascii="仿宋" w:hAnsi="仿宋" w:eastAsia="仿宋"/>
          <w:sz w:val="32"/>
          <w:szCs w:val="32"/>
          <w:lang w:val="en-US" w:eastAsia="zh-CN"/>
        </w:rPr>
        <w:t>0</w:t>
      </w:r>
      <w:r>
        <w:rPr>
          <w:rFonts w:hint="eastAsia" w:ascii="仿宋" w:hAnsi="仿宋" w:eastAsia="仿宋"/>
          <w:sz w:val="32"/>
          <w:szCs w:val="32"/>
        </w:rPr>
        <w:t>辆、特种专业技术用车</w:t>
      </w:r>
      <w:r>
        <w:rPr>
          <w:rFonts w:hint="eastAsia" w:ascii="仿宋" w:hAnsi="仿宋" w:eastAsia="仿宋"/>
          <w:sz w:val="32"/>
          <w:szCs w:val="32"/>
          <w:lang w:val="en-US" w:eastAsia="zh-CN"/>
        </w:rPr>
        <w:t>0</w:t>
      </w:r>
      <w:r>
        <w:rPr>
          <w:rFonts w:hint="eastAsia" w:ascii="仿宋" w:hAnsi="仿宋" w:eastAsia="仿宋"/>
          <w:sz w:val="32"/>
          <w:szCs w:val="32"/>
        </w:rPr>
        <w:t>辆、离退休干部用车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0</w:t>
      </w:r>
      <w:r>
        <w:rPr>
          <w:rFonts w:hint="eastAsia" w:ascii="仿宋" w:hAnsi="仿宋" w:eastAsia="仿宋"/>
          <w:sz w:val="32"/>
          <w:szCs w:val="32"/>
        </w:rPr>
        <w:t>辆。单位价值100万元（含）以上设备</w:t>
      </w:r>
      <w:r>
        <w:rPr>
          <w:rFonts w:hint="eastAsia" w:ascii="仿宋" w:hAnsi="仿宋" w:eastAsia="仿宋"/>
          <w:sz w:val="32"/>
          <w:szCs w:val="32"/>
          <w:lang w:val="en-US" w:eastAsia="zh-CN"/>
        </w:rPr>
        <w:t>0</w:t>
      </w:r>
      <w:r>
        <w:rPr>
          <w:rFonts w:hint="eastAsia" w:ascii="仿宋" w:hAnsi="仿宋" w:eastAsia="仿宋" w:cs="仿宋_GB2312"/>
          <w:kern w:val="0"/>
          <w:sz w:val="32"/>
          <w:szCs w:val="32"/>
        </w:rPr>
        <w:t>台（套）。</w:t>
      </w:r>
    </w:p>
    <w:p>
      <w:pPr>
        <w:spacing w:line="590" w:lineRule="exact"/>
        <w:ind w:firstLine="420" w:firstLineChars="0"/>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eastAsia="zh-CN"/>
        </w:rPr>
        <w:t>2025</w:t>
      </w:r>
      <w:r>
        <w:rPr>
          <w:rFonts w:hint="eastAsia" w:ascii="仿宋" w:hAnsi="仿宋" w:eastAsia="仿宋" w:cs="楷体"/>
          <w:kern w:val="0"/>
          <w:sz w:val="32"/>
          <w:szCs w:val="32"/>
        </w:rPr>
        <w:t>年</w:t>
      </w:r>
      <w:r>
        <w:rPr>
          <w:rFonts w:hint="eastAsia" w:ascii="仿宋" w:hAnsi="仿宋" w:eastAsia="仿宋" w:cs="楷体"/>
          <w:kern w:val="0"/>
          <w:sz w:val="32"/>
          <w:szCs w:val="32"/>
          <w:lang w:eastAsia="zh-CN"/>
        </w:rPr>
        <w:t>单位</w:t>
      </w:r>
      <w:r>
        <w:rPr>
          <w:rFonts w:hint="eastAsia" w:ascii="仿宋" w:hAnsi="仿宋" w:eastAsia="仿宋" w:cs="楷体"/>
          <w:kern w:val="0"/>
          <w:sz w:val="32"/>
          <w:szCs w:val="32"/>
        </w:rPr>
        <w:t>预算安排购置车辆</w:t>
      </w:r>
      <w:r>
        <w:rPr>
          <w:rFonts w:hint="eastAsia" w:ascii="仿宋" w:hAnsi="仿宋" w:eastAsia="仿宋"/>
          <w:sz w:val="32"/>
          <w:szCs w:val="32"/>
          <w:lang w:val="en-US" w:eastAsia="zh-CN"/>
        </w:rPr>
        <w:t>0</w:t>
      </w:r>
      <w:r>
        <w:rPr>
          <w:rFonts w:hint="eastAsia" w:ascii="仿宋" w:hAnsi="仿宋" w:eastAsia="仿宋"/>
          <w:sz w:val="32"/>
          <w:szCs w:val="32"/>
        </w:rPr>
        <w:t>辆，其中：</w:t>
      </w:r>
      <w:r>
        <w:rPr>
          <w:rFonts w:hint="eastAsia" w:ascii="仿宋" w:hAnsi="仿宋" w:eastAsia="仿宋" w:cs="仿宋_GB2312"/>
          <w:kern w:val="0"/>
          <w:sz w:val="32"/>
          <w:szCs w:val="32"/>
        </w:rPr>
        <w:t>副部（省）级以上领导用车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辆、主要领导干部用车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辆、机要通信用车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辆、应急保障用车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辆、执法执勤用车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辆、特种专业技术用车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辆、离退休干部用车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辆、其他用车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w:t>
      </w:r>
      <w:r>
        <w:rPr>
          <w:rFonts w:hint="eastAsia" w:ascii="仿宋" w:hAnsi="仿宋" w:eastAsia="仿宋"/>
          <w:sz w:val="32"/>
          <w:szCs w:val="32"/>
        </w:rPr>
        <w:t>单位价值100万元（含）以上设备</w:t>
      </w:r>
      <w:r>
        <w:rPr>
          <w:rFonts w:hint="eastAsia" w:ascii="仿宋" w:hAnsi="仿宋" w:eastAsia="仿宋"/>
          <w:sz w:val="32"/>
          <w:szCs w:val="32"/>
          <w:lang w:val="en-US" w:eastAsia="zh-CN"/>
        </w:rPr>
        <w:t>0</w:t>
      </w:r>
      <w:r>
        <w:rPr>
          <w:rFonts w:hint="eastAsia" w:ascii="仿宋" w:hAnsi="仿宋" w:eastAsia="仿宋" w:cs="仿宋_GB2312"/>
          <w:kern w:val="0"/>
          <w:sz w:val="32"/>
          <w:szCs w:val="32"/>
        </w:rPr>
        <w:t>台（套）。</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rPr>
        <w:sectPr>
          <w:pgSz w:w="11906" w:h="16838"/>
          <w:pgMar w:top="1440" w:right="1797" w:bottom="1440" w:left="1797" w:header="851" w:footer="992" w:gutter="0"/>
          <w:pgNumType w:fmt="decimal"/>
          <w:cols w:space="720" w:num="1"/>
          <w:docGrid w:type="lines" w:linePitch="312" w:charSpace="0"/>
        </w:sectPr>
      </w:pPr>
    </w:p>
    <w:p>
      <w:pPr>
        <w:spacing w:line="600" w:lineRule="exact"/>
        <w:jc w:val="left"/>
        <w:rPr>
          <w:rFonts w:ascii="仿宋" w:hAnsi="仿宋" w:eastAsia="仿宋"/>
          <w:kern w:val="0"/>
          <w:sz w:val="32"/>
          <w:szCs w:val="32"/>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pStyle w:val="2"/>
        <w:keepNext/>
        <w:keepLines/>
        <w:pageBreakBefore w:val="0"/>
        <w:widowControl w:val="0"/>
        <w:kinsoku/>
        <w:wordWrap/>
        <w:overflowPunct/>
        <w:topLinePunct w:val="0"/>
        <w:autoSpaceDE/>
        <w:autoSpaceDN/>
        <w:bidi w:val="0"/>
        <w:adjustRightInd/>
        <w:snapToGrid/>
        <w:spacing w:line="276" w:lineRule="auto"/>
        <w:textAlignment w:val="auto"/>
        <w:rPr>
          <w:b w:val="0"/>
          <w:bCs/>
          <w:sz w:val="56"/>
          <w:szCs w:val="56"/>
        </w:rPr>
      </w:pPr>
      <w:bookmarkStart w:id="27" w:name="_Toc25773"/>
      <w:r>
        <w:rPr>
          <w:rFonts w:hint="eastAsia"/>
          <w:b w:val="0"/>
          <w:bCs/>
          <w:sz w:val="56"/>
          <w:szCs w:val="56"/>
        </w:rPr>
        <w:t>第四部分</w:t>
      </w:r>
      <w:bookmarkEnd w:id="27"/>
    </w:p>
    <w:p>
      <w:pPr>
        <w:pageBreakBefore w:val="0"/>
        <w:widowControl w:val="0"/>
        <w:kinsoku/>
        <w:wordWrap/>
        <w:overflowPunct/>
        <w:topLinePunct w:val="0"/>
        <w:autoSpaceDE/>
        <w:autoSpaceDN/>
        <w:bidi w:val="0"/>
        <w:adjustRightInd/>
        <w:snapToGrid/>
        <w:spacing w:line="276" w:lineRule="auto"/>
        <w:jc w:val="center"/>
        <w:textAlignment w:val="auto"/>
        <w:rPr>
          <w:rFonts w:hint="eastAsia" w:ascii="黑体" w:hAnsi="黑体" w:eastAsia="黑体" w:cs="黑体"/>
          <w:b/>
          <w:bCs/>
          <w:sz w:val="56"/>
          <w:szCs w:val="56"/>
        </w:rPr>
      </w:pPr>
      <w:bookmarkStart w:id="28" w:name="_Toc256000027"/>
      <w:r>
        <w:rPr>
          <w:rFonts w:hint="eastAsia" w:ascii="黑体" w:hAnsi="黑体" w:eastAsia="黑体" w:cs="黑体"/>
          <w:b w:val="0"/>
          <w:bCs w:val="0"/>
          <w:sz w:val="56"/>
          <w:szCs w:val="56"/>
        </w:rPr>
        <w:t>名词解释</w:t>
      </w:r>
      <w:bookmarkEnd w:id="28"/>
    </w:p>
    <w:p>
      <w:pPr>
        <w:adjustRightInd w:val="0"/>
        <w:snapToGrid w:val="0"/>
        <w:spacing w:line="600" w:lineRule="exact"/>
        <w:jc w:val="left"/>
        <w:rPr>
          <w:rFonts w:ascii="宋体" w:hAnsi="宋体" w:eastAsia="宋体"/>
          <w:b/>
          <w:sz w:val="40"/>
        </w:rPr>
      </w:pPr>
    </w:p>
    <w:p>
      <w:pPr>
        <w:adjustRightInd w:val="0"/>
        <w:snapToGrid w:val="0"/>
        <w:spacing w:line="600" w:lineRule="exact"/>
        <w:jc w:val="left"/>
        <w:rPr>
          <w:rFonts w:ascii="仿宋" w:hAnsi="仿宋" w:eastAsia="仿宋" w:cs="仿宋_GB2312"/>
          <w:kern w:val="0"/>
          <w:sz w:val="32"/>
          <w:szCs w:val="32"/>
        </w:rPr>
        <w:sectPr>
          <w:pgSz w:w="11906" w:h="16838"/>
          <w:pgMar w:top="1440" w:right="1797" w:bottom="1440" w:left="1797" w:header="851" w:footer="992" w:gutter="0"/>
          <w:pgNumType w:fmt="decimal"/>
          <w:cols w:space="720" w:num="1"/>
          <w:docGrid w:type="lines" w:linePitch="312" w:charSpace="0"/>
        </w:sectPr>
      </w:pPr>
    </w:p>
    <w:p>
      <w:pPr>
        <w:pStyle w:val="18"/>
        <w:spacing w:line="600" w:lineRule="exact"/>
        <w:ind w:firstLine="640"/>
        <w:rPr>
          <w:rFonts w:hint="eastAsia" w:hAnsi="仿宋"/>
          <w:sz w:val="32"/>
          <w:szCs w:val="32"/>
        </w:rPr>
      </w:pPr>
      <w:r>
        <w:rPr>
          <w:rFonts w:hint="eastAsia" w:hAnsi="仿宋"/>
          <w:b/>
          <w:sz w:val="32"/>
          <w:szCs w:val="32"/>
        </w:rPr>
        <w:t>一、财政拨款收入：</w:t>
      </w:r>
      <w:r>
        <w:rPr>
          <w:rFonts w:hint="eastAsia" w:hAnsi="仿宋"/>
          <w:sz w:val="32"/>
          <w:szCs w:val="32"/>
        </w:rPr>
        <w:t>指财政当年拨付的资金，包括一般公共预算拨款收入、政府性基金预算拨款收入、国有资本经营预算拨款收入。</w:t>
      </w:r>
    </w:p>
    <w:p>
      <w:pPr>
        <w:pStyle w:val="18"/>
        <w:spacing w:line="600" w:lineRule="exact"/>
        <w:ind w:firstLine="640"/>
        <w:rPr>
          <w:rFonts w:hint="eastAsia" w:hAnsi="仿宋"/>
          <w:sz w:val="32"/>
          <w:szCs w:val="32"/>
        </w:rPr>
      </w:pPr>
      <w:r>
        <w:rPr>
          <w:rFonts w:hint="eastAsia" w:hAnsi="仿宋"/>
          <w:b/>
          <w:sz w:val="32"/>
          <w:szCs w:val="32"/>
        </w:rPr>
        <w:t>二、事业收入：</w:t>
      </w:r>
      <w:r>
        <w:rPr>
          <w:rFonts w:hint="eastAsia" w:hAnsi="仿宋"/>
          <w:sz w:val="32"/>
          <w:szCs w:val="32"/>
        </w:rPr>
        <w:t>指事业单位开展专业业务活动及辅助活动所取得的收入。</w:t>
      </w:r>
    </w:p>
    <w:p>
      <w:pPr>
        <w:pStyle w:val="18"/>
        <w:spacing w:line="600" w:lineRule="exact"/>
        <w:ind w:firstLine="640"/>
        <w:rPr>
          <w:rFonts w:hint="eastAsia" w:hAnsi="仿宋"/>
          <w:sz w:val="32"/>
          <w:szCs w:val="32"/>
        </w:rPr>
      </w:pPr>
      <w:r>
        <w:rPr>
          <w:rFonts w:hint="eastAsia" w:hAnsi="仿宋"/>
          <w:b/>
          <w:sz w:val="32"/>
          <w:szCs w:val="32"/>
        </w:rPr>
        <w:t>三、事业单位经营收入：</w:t>
      </w:r>
      <w:r>
        <w:rPr>
          <w:rFonts w:hint="eastAsia" w:hAnsi="仿宋"/>
          <w:sz w:val="32"/>
          <w:szCs w:val="32"/>
        </w:rPr>
        <w:t>指事业单位在专业业务活动及其辅助活动之外开展非独立核算经营活动取得的收入。</w:t>
      </w:r>
    </w:p>
    <w:p>
      <w:pPr>
        <w:pStyle w:val="18"/>
        <w:spacing w:line="600" w:lineRule="exact"/>
        <w:ind w:firstLine="640"/>
        <w:rPr>
          <w:rFonts w:hint="eastAsia" w:hAnsi="仿宋"/>
          <w:sz w:val="32"/>
          <w:szCs w:val="32"/>
        </w:rPr>
      </w:pPr>
      <w:r>
        <w:rPr>
          <w:rFonts w:hint="eastAsia" w:hAnsi="仿宋"/>
          <w:b/>
          <w:sz w:val="32"/>
          <w:szCs w:val="32"/>
        </w:rPr>
        <w:t>四、其他收入：</w:t>
      </w:r>
      <w:r>
        <w:rPr>
          <w:rFonts w:hint="eastAsia" w:hAnsi="仿宋"/>
          <w:sz w:val="32"/>
          <w:szCs w:val="32"/>
        </w:rPr>
        <w:t>指除上述“财政拨款收入”、“事业收入”、“事业单位经营收入”等以外的收入。主要是事业单位固定资产出租收入、存款利息收入等。</w:t>
      </w:r>
    </w:p>
    <w:p>
      <w:pPr>
        <w:pStyle w:val="18"/>
        <w:spacing w:line="600" w:lineRule="exact"/>
        <w:ind w:firstLine="640"/>
        <w:rPr>
          <w:rFonts w:hint="eastAsia" w:hAnsi="仿宋"/>
          <w:sz w:val="32"/>
          <w:szCs w:val="32"/>
        </w:rPr>
      </w:pPr>
      <w:r>
        <w:rPr>
          <w:rFonts w:hint="eastAsia" w:hAnsi="仿宋"/>
          <w:b/>
          <w:sz w:val="32"/>
          <w:szCs w:val="32"/>
        </w:rPr>
        <w:t>五、结转结余资金：</w:t>
      </w:r>
      <w:r>
        <w:rPr>
          <w:rFonts w:hint="eastAsia" w:hAnsi="仿宋"/>
          <w:sz w:val="32"/>
          <w:szCs w:val="32"/>
        </w:rPr>
        <w:t>指以前年度尚未完成、结转到本年仍按原规定用途继续使用的资金，或项目已完成等产生的结余资金。</w:t>
      </w:r>
    </w:p>
    <w:p>
      <w:pPr>
        <w:pStyle w:val="18"/>
        <w:spacing w:line="600" w:lineRule="exact"/>
        <w:ind w:firstLine="640"/>
        <w:rPr>
          <w:rFonts w:hint="eastAsia"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p>
    <w:p>
      <w:pPr>
        <w:pStyle w:val="18"/>
        <w:spacing w:line="600" w:lineRule="exact"/>
        <w:ind w:firstLine="640"/>
        <w:rPr>
          <w:rFonts w:hint="eastAsia"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p>
    <w:p>
      <w:pPr>
        <w:pStyle w:val="18"/>
        <w:spacing w:line="600" w:lineRule="exact"/>
        <w:ind w:firstLine="640"/>
        <w:rPr>
          <w:rFonts w:hint="eastAsia"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p>
    <w:p>
      <w:pPr>
        <w:pStyle w:val="18"/>
        <w:spacing w:line="600" w:lineRule="exact"/>
        <w:ind w:firstLine="640"/>
        <w:rPr>
          <w:rFonts w:hint="eastAsia" w:hAnsi="仿宋"/>
          <w:sz w:val="32"/>
          <w:szCs w:val="32"/>
        </w:rPr>
      </w:pPr>
      <w:r>
        <w:rPr>
          <w:rFonts w:hint="eastAsia" w:hAnsi="仿宋"/>
          <w:b/>
          <w:sz w:val="32"/>
          <w:szCs w:val="32"/>
        </w:rPr>
        <w:t>九、上缴上级支出：</w:t>
      </w:r>
      <w:r>
        <w:rPr>
          <w:rFonts w:hint="eastAsia" w:hAnsi="仿宋"/>
          <w:sz w:val="32"/>
          <w:szCs w:val="32"/>
        </w:rPr>
        <w:t>指下级单位上缴上级的支出。</w:t>
      </w:r>
    </w:p>
    <w:p>
      <w:pPr>
        <w:pStyle w:val="18"/>
        <w:spacing w:line="600" w:lineRule="exact"/>
        <w:ind w:firstLine="640"/>
        <w:rPr>
          <w:rFonts w:hint="eastAsia" w:hAnsi="仿宋"/>
          <w:sz w:val="32"/>
          <w:szCs w:val="32"/>
        </w:rPr>
      </w:pPr>
      <w:r>
        <w:rPr>
          <w:rFonts w:hint="eastAsia" w:hAnsi="仿宋"/>
          <w:b/>
          <w:sz w:val="32"/>
          <w:szCs w:val="32"/>
        </w:rPr>
        <w:t>十、对附属单位补助支出：</w:t>
      </w:r>
      <w:r>
        <w:rPr>
          <w:rFonts w:hint="eastAsia" w:hAnsi="仿宋"/>
          <w:sz w:val="32"/>
          <w:szCs w:val="32"/>
        </w:rPr>
        <w:t>指对下级单位补助发送的支出。</w:t>
      </w:r>
    </w:p>
    <w:p>
      <w:pPr>
        <w:pStyle w:val="18"/>
        <w:spacing w:line="600" w:lineRule="exact"/>
        <w:ind w:firstLine="640"/>
        <w:rPr>
          <w:rFonts w:hint="eastAsia"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p>
    <w:p>
      <w:pPr>
        <w:pStyle w:val="18"/>
        <w:spacing w:line="600" w:lineRule="exact"/>
        <w:ind w:firstLine="640"/>
        <w:rPr>
          <w:rFonts w:hint="eastAsia" w:hAnsi="仿宋"/>
          <w:sz w:val="32"/>
          <w:szCs w:val="32"/>
        </w:rPr>
      </w:pPr>
      <w:r>
        <w:rPr>
          <w:rFonts w:hint="eastAsia" w:hAnsi="仿宋"/>
          <w:b/>
          <w:sz w:val="32"/>
          <w:szCs w:val="32"/>
        </w:rPr>
        <w:t>十二、机关运行经费：</w:t>
      </w:r>
      <w:r>
        <w:rPr>
          <w:rFonts w:hint="eastAsia" w:hAnsi="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8"/>
        <w:spacing w:line="600" w:lineRule="exact"/>
        <w:ind w:firstLine="640"/>
        <w:rPr>
          <w:rFonts w:ascii="宋体" w:hAnsi="宋体" w:eastAsia="宋体"/>
          <w:b/>
          <w:sz w:val="32"/>
          <w:szCs w:val="32"/>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jc w:val="center"/>
                            <w:rPr>
                              <w:rFonts w:ascii="宋体" w:hAnsi="宋体"/>
                              <w:sz w:val="20"/>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25</w:t>
                          </w:r>
                          <w:r>
                            <w:rPr>
                              <w:rFonts w:hint="eastAsia" w:asciiTheme="minorEastAsia" w:hAnsiTheme="minorEastAsia" w:eastAsiaTheme="minorEastAsia" w:cstheme="minorEastAsia"/>
                              <w:sz w:val="28"/>
                              <w:szCs w:val="28"/>
                            </w:rPr>
                            <w:fldChar w:fldCharType="end"/>
                          </w:r>
                        </w:p>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0lY7tAAAAAFAQAADwAAAAAAAAABACAAAAAiAAAAZHJzL2Rvd25yZXYueG1sUEsB&#10;AhQAFAAAAAgAh07iQNf+psHEAQAAbQMAAA4AAAAAAAAAAQAgAAAAHwEAAGRycy9lMm9Eb2MueG1s&#10;UEsFBgAAAAAGAAYAWQEAAFUFAAAAAA==&#10;">
              <v:fill on="f" focussize="0,0"/>
              <v:stroke on="f" weight="0.5pt"/>
              <v:imagedata o:title=""/>
              <o:lock v:ext="edit" aspectratio="f"/>
              <v:textbox inset="0mm,0mm,0mm,0mm" style="mso-fit-shape-to-text:t;">
                <w:txbxContent>
                  <w:p>
                    <w:pPr>
                      <w:pStyle w:val="5"/>
                      <w:jc w:val="center"/>
                      <w:rPr>
                        <w:rFonts w:ascii="宋体" w:hAnsi="宋体"/>
                        <w:sz w:val="20"/>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25</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asciiTheme="minorEastAsia" w:hAnsiTheme="minorEastAsia" w:eastAsiaTheme="minorEastAsia" w:cstheme="minorEastAsia"/>
        <w:sz w:val="28"/>
        <w:szCs w:val="28"/>
        <w:lang w:val="en-US"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ZDIwY2UwYjRhMzExMDZhNGYyOTY3MWJkNDY4NGQifQ=="/>
    <w:docVar w:name="KSO_WPS_MARK_KEY" w:val="af23955d-0e39-4c48-9064-fc6f5a35ac2a"/>
  </w:docVars>
  <w:rsids>
    <w:rsidRoot w:val="00276093"/>
    <w:rsid w:val="0000246C"/>
    <w:rsid w:val="000038E2"/>
    <w:rsid w:val="00003DBA"/>
    <w:rsid w:val="00004CE1"/>
    <w:rsid w:val="000058F3"/>
    <w:rsid w:val="00005C0C"/>
    <w:rsid w:val="00011BAB"/>
    <w:rsid w:val="00013CE8"/>
    <w:rsid w:val="000141D9"/>
    <w:rsid w:val="00020C2F"/>
    <w:rsid w:val="0002112A"/>
    <w:rsid w:val="00023374"/>
    <w:rsid w:val="0002379A"/>
    <w:rsid w:val="000260BC"/>
    <w:rsid w:val="000264F0"/>
    <w:rsid w:val="0002698C"/>
    <w:rsid w:val="0003089A"/>
    <w:rsid w:val="0003193F"/>
    <w:rsid w:val="00032190"/>
    <w:rsid w:val="000403E3"/>
    <w:rsid w:val="000417EF"/>
    <w:rsid w:val="00042262"/>
    <w:rsid w:val="00046E11"/>
    <w:rsid w:val="00055873"/>
    <w:rsid w:val="0005676E"/>
    <w:rsid w:val="00056CD4"/>
    <w:rsid w:val="0005716F"/>
    <w:rsid w:val="00060883"/>
    <w:rsid w:val="00060B63"/>
    <w:rsid w:val="0006186A"/>
    <w:rsid w:val="00063D5C"/>
    <w:rsid w:val="000644C5"/>
    <w:rsid w:val="00065049"/>
    <w:rsid w:val="00065622"/>
    <w:rsid w:val="00072DDD"/>
    <w:rsid w:val="00076C7F"/>
    <w:rsid w:val="000779D3"/>
    <w:rsid w:val="00080F13"/>
    <w:rsid w:val="00083310"/>
    <w:rsid w:val="000843A8"/>
    <w:rsid w:val="00093534"/>
    <w:rsid w:val="000958F1"/>
    <w:rsid w:val="00096A6E"/>
    <w:rsid w:val="000A0138"/>
    <w:rsid w:val="000A090F"/>
    <w:rsid w:val="000A2980"/>
    <w:rsid w:val="000A3D22"/>
    <w:rsid w:val="000A3D93"/>
    <w:rsid w:val="000B2223"/>
    <w:rsid w:val="000B557D"/>
    <w:rsid w:val="000B5F12"/>
    <w:rsid w:val="000B6286"/>
    <w:rsid w:val="000B790C"/>
    <w:rsid w:val="000B7BA4"/>
    <w:rsid w:val="000C2EA1"/>
    <w:rsid w:val="000C3250"/>
    <w:rsid w:val="000D1168"/>
    <w:rsid w:val="000D1799"/>
    <w:rsid w:val="000D2672"/>
    <w:rsid w:val="000D48A1"/>
    <w:rsid w:val="000D5C6D"/>
    <w:rsid w:val="000D755B"/>
    <w:rsid w:val="000D79EA"/>
    <w:rsid w:val="000E2E6C"/>
    <w:rsid w:val="000E39D0"/>
    <w:rsid w:val="000E5683"/>
    <w:rsid w:val="000E57C3"/>
    <w:rsid w:val="000E5E7F"/>
    <w:rsid w:val="000F07D8"/>
    <w:rsid w:val="000F16B6"/>
    <w:rsid w:val="000F7E75"/>
    <w:rsid w:val="00102736"/>
    <w:rsid w:val="00104B85"/>
    <w:rsid w:val="0011271A"/>
    <w:rsid w:val="0011286D"/>
    <w:rsid w:val="00114A76"/>
    <w:rsid w:val="00115195"/>
    <w:rsid w:val="00116869"/>
    <w:rsid w:val="00120C36"/>
    <w:rsid w:val="00121977"/>
    <w:rsid w:val="00122671"/>
    <w:rsid w:val="00122F42"/>
    <w:rsid w:val="00124AB1"/>
    <w:rsid w:val="001273B5"/>
    <w:rsid w:val="00127830"/>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76"/>
    <w:rsid w:val="001926CF"/>
    <w:rsid w:val="00194C64"/>
    <w:rsid w:val="001960BA"/>
    <w:rsid w:val="001962FD"/>
    <w:rsid w:val="00196648"/>
    <w:rsid w:val="00196FF1"/>
    <w:rsid w:val="00197139"/>
    <w:rsid w:val="00197504"/>
    <w:rsid w:val="001A0B13"/>
    <w:rsid w:val="001A2337"/>
    <w:rsid w:val="001A25EF"/>
    <w:rsid w:val="001A28D2"/>
    <w:rsid w:val="001A3C4B"/>
    <w:rsid w:val="001A6BC0"/>
    <w:rsid w:val="001A7BE3"/>
    <w:rsid w:val="001B3282"/>
    <w:rsid w:val="001B4DC1"/>
    <w:rsid w:val="001B4E8D"/>
    <w:rsid w:val="001B6339"/>
    <w:rsid w:val="001B761D"/>
    <w:rsid w:val="001D091C"/>
    <w:rsid w:val="001D0E09"/>
    <w:rsid w:val="001D14D1"/>
    <w:rsid w:val="001D29A1"/>
    <w:rsid w:val="001D5493"/>
    <w:rsid w:val="001D6E07"/>
    <w:rsid w:val="001D7ED0"/>
    <w:rsid w:val="001E156E"/>
    <w:rsid w:val="001E28B6"/>
    <w:rsid w:val="001E504B"/>
    <w:rsid w:val="001E544F"/>
    <w:rsid w:val="00200CE7"/>
    <w:rsid w:val="00204E35"/>
    <w:rsid w:val="00205474"/>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34319"/>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2684B"/>
    <w:rsid w:val="003321C5"/>
    <w:rsid w:val="00333A77"/>
    <w:rsid w:val="00333AA8"/>
    <w:rsid w:val="003378FB"/>
    <w:rsid w:val="003406DC"/>
    <w:rsid w:val="0034316F"/>
    <w:rsid w:val="0034563D"/>
    <w:rsid w:val="00347160"/>
    <w:rsid w:val="00351C04"/>
    <w:rsid w:val="0035499D"/>
    <w:rsid w:val="003570F5"/>
    <w:rsid w:val="0036090F"/>
    <w:rsid w:val="003620CB"/>
    <w:rsid w:val="0036356B"/>
    <w:rsid w:val="0036428D"/>
    <w:rsid w:val="003658A0"/>
    <w:rsid w:val="00366658"/>
    <w:rsid w:val="0037273E"/>
    <w:rsid w:val="00377E84"/>
    <w:rsid w:val="003818A7"/>
    <w:rsid w:val="00381F03"/>
    <w:rsid w:val="003828FD"/>
    <w:rsid w:val="00382B88"/>
    <w:rsid w:val="00385282"/>
    <w:rsid w:val="0038685E"/>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5627"/>
    <w:rsid w:val="003D6FD0"/>
    <w:rsid w:val="003E1FC4"/>
    <w:rsid w:val="003E268F"/>
    <w:rsid w:val="003E3174"/>
    <w:rsid w:val="003F0880"/>
    <w:rsid w:val="003F46A9"/>
    <w:rsid w:val="00400218"/>
    <w:rsid w:val="00401601"/>
    <w:rsid w:val="00407986"/>
    <w:rsid w:val="00407A13"/>
    <w:rsid w:val="0041005F"/>
    <w:rsid w:val="00410427"/>
    <w:rsid w:val="0041051F"/>
    <w:rsid w:val="004109FC"/>
    <w:rsid w:val="00411B70"/>
    <w:rsid w:val="00417544"/>
    <w:rsid w:val="00420FD3"/>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245A"/>
    <w:rsid w:val="00473741"/>
    <w:rsid w:val="00473B30"/>
    <w:rsid w:val="00474939"/>
    <w:rsid w:val="00477558"/>
    <w:rsid w:val="004778D4"/>
    <w:rsid w:val="00480120"/>
    <w:rsid w:val="00480AC6"/>
    <w:rsid w:val="00483949"/>
    <w:rsid w:val="004879B8"/>
    <w:rsid w:val="004904E5"/>
    <w:rsid w:val="00491BFE"/>
    <w:rsid w:val="004930B7"/>
    <w:rsid w:val="00495993"/>
    <w:rsid w:val="004A4089"/>
    <w:rsid w:val="004A46E3"/>
    <w:rsid w:val="004A7B84"/>
    <w:rsid w:val="004B3BE4"/>
    <w:rsid w:val="004B4C02"/>
    <w:rsid w:val="004B6176"/>
    <w:rsid w:val="004B7555"/>
    <w:rsid w:val="004B78B9"/>
    <w:rsid w:val="004B7A98"/>
    <w:rsid w:val="004C3553"/>
    <w:rsid w:val="004C6612"/>
    <w:rsid w:val="004C6A1A"/>
    <w:rsid w:val="004C7373"/>
    <w:rsid w:val="004D0824"/>
    <w:rsid w:val="004D11F1"/>
    <w:rsid w:val="004D303F"/>
    <w:rsid w:val="004D49E5"/>
    <w:rsid w:val="004E090C"/>
    <w:rsid w:val="004E1C4A"/>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37860"/>
    <w:rsid w:val="005401E2"/>
    <w:rsid w:val="00540D65"/>
    <w:rsid w:val="0054537E"/>
    <w:rsid w:val="00551636"/>
    <w:rsid w:val="005538DA"/>
    <w:rsid w:val="00556815"/>
    <w:rsid w:val="00560E2D"/>
    <w:rsid w:val="005643E0"/>
    <w:rsid w:val="00565BC8"/>
    <w:rsid w:val="00567E9F"/>
    <w:rsid w:val="00570A86"/>
    <w:rsid w:val="0057164B"/>
    <w:rsid w:val="00574328"/>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2DA8"/>
    <w:rsid w:val="005C47C1"/>
    <w:rsid w:val="005C6C70"/>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516A"/>
    <w:rsid w:val="00626D0D"/>
    <w:rsid w:val="00634B91"/>
    <w:rsid w:val="006371D3"/>
    <w:rsid w:val="006403ED"/>
    <w:rsid w:val="006453F7"/>
    <w:rsid w:val="00646201"/>
    <w:rsid w:val="00647B13"/>
    <w:rsid w:val="00650641"/>
    <w:rsid w:val="0065068B"/>
    <w:rsid w:val="006513C4"/>
    <w:rsid w:val="00653FA3"/>
    <w:rsid w:val="0065447D"/>
    <w:rsid w:val="00660766"/>
    <w:rsid w:val="00661D91"/>
    <w:rsid w:val="00661F1A"/>
    <w:rsid w:val="006621E1"/>
    <w:rsid w:val="006644A8"/>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4D6B"/>
    <w:rsid w:val="006A5A04"/>
    <w:rsid w:val="006A5B5E"/>
    <w:rsid w:val="006A5E02"/>
    <w:rsid w:val="006A611A"/>
    <w:rsid w:val="006A69A9"/>
    <w:rsid w:val="006A7E8C"/>
    <w:rsid w:val="006B0297"/>
    <w:rsid w:val="006B2801"/>
    <w:rsid w:val="006B49E4"/>
    <w:rsid w:val="006B6DD3"/>
    <w:rsid w:val="006B741D"/>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53F6"/>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45E21"/>
    <w:rsid w:val="00751BFD"/>
    <w:rsid w:val="00753AF6"/>
    <w:rsid w:val="007549EB"/>
    <w:rsid w:val="00755123"/>
    <w:rsid w:val="00755EE9"/>
    <w:rsid w:val="00756B66"/>
    <w:rsid w:val="007576F1"/>
    <w:rsid w:val="0076015A"/>
    <w:rsid w:val="00761809"/>
    <w:rsid w:val="0076391C"/>
    <w:rsid w:val="00764129"/>
    <w:rsid w:val="00764169"/>
    <w:rsid w:val="007648F0"/>
    <w:rsid w:val="00766890"/>
    <w:rsid w:val="00771E22"/>
    <w:rsid w:val="00774CED"/>
    <w:rsid w:val="0077574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3EF0"/>
    <w:rsid w:val="007B6576"/>
    <w:rsid w:val="007C066D"/>
    <w:rsid w:val="007D09AC"/>
    <w:rsid w:val="007D0C9C"/>
    <w:rsid w:val="007D1D55"/>
    <w:rsid w:val="007D5097"/>
    <w:rsid w:val="007D551F"/>
    <w:rsid w:val="007E0E4B"/>
    <w:rsid w:val="007E4D04"/>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5F9"/>
    <w:rsid w:val="00864657"/>
    <w:rsid w:val="0086502B"/>
    <w:rsid w:val="0086552C"/>
    <w:rsid w:val="00867C8E"/>
    <w:rsid w:val="00874190"/>
    <w:rsid w:val="0087442E"/>
    <w:rsid w:val="00876E8F"/>
    <w:rsid w:val="008777B8"/>
    <w:rsid w:val="008814D7"/>
    <w:rsid w:val="008835F0"/>
    <w:rsid w:val="00890632"/>
    <w:rsid w:val="00896B59"/>
    <w:rsid w:val="008A3BC9"/>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2D9B"/>
    <w:rsid w:val="00905D85"/>
    <w:rsid w:val="00911BAB"/>
    <w:rsid w:val="00911C63"/>
    <w:rsid w:val="0091308C"/>
    <w:rsid w:val="009205C2"/>
    <w:rsid w:val="00922BFE"/>
    <w:rsid w:val="00923DF7"/>
    <w:rsid w:val="009246ED"/>
    <w:rsid w:val="00924A2B"/>
    <w:rsid w:val="00925B95"/>
    <w:rsid w:val="00926543"/>
    <w:rsid w:val="009272A8"/>
    <w:rsid w:val="00932FB5"/>
    <w:rsid w:val="009366F0"/>
    <w:rsid w:val="009370BB"/>
    <w:rsid w:val="00951E5D"/>
    <w:rsid w:val="00952EDB"/>
    <w:rsid w:val="00953D9C"/>
    <w:rsid w:val="00961818"/>
    <w:rsid w:val="00963687"/>
    <w:rsid w:val="00963E58"/>
    <w:rsid w:val="009644B3"/>
    <w:rsid w:val="00965744"/>
    <w:rsid w:val="009662F7"/>
    <w:rsid w:val="009678D1"/>
    <w:rsid w:val="0097008B"/>
    <w:rsid w:val="00970CC2"/>
    <w:rsid w:val="00971A4A"/>
    <w:rsid w:val="00972C61"/>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879E3"/>
    <w:rsid w:val="00A90114"/>
    <w:rsid w:val="00A90C82"/>
    <w:rsid w:val="00A9291D"/>
    <w:rsid w:val="00A941CF"/>
    <w:rsid w:val="00A949F9"/>
    <w:rsid w:val="00A9542A"/>
    <w:rsid w:val="00AA384C"/>
    <w:rsid w:val="00AA4ACB"/>
    <w:rsid w:val="00AA5168"/>
    <w:rsid w:val="00AA6E2B"/>
    <w:rsid w:val="00AB0AA2"/>
    <w:rsid w:val="00AB28C2"/>
    <w:rsid w:val="00AB4A70"/>
    <w:rsid w:val="00AB4E70"/>
    <w:rsid w:val="00AB6B9E"/>
    <w:rsid w:val="00AB7B4B"/>
    <w:rsid w:val="00AB7FE8"/>
    <w:rsid w:val="00AC6712"/>
    <w:rsid w:val="00AC7322"/>
    <w:rsid w:val="00AD0F49"/>
    <w:rsid w:val="00AD4C5E"/>
    <w:rsid w:val="00AD749B"/>
    <w:rsid w:val="00AE033B"/>
    <w:rsid w:val="00AE0616"/>
    <w:rsid w:val="00AE10E6"/>
    <w:rsid w:val="00AE1259"/>
    <w:rsid w:val="00AE59CC"/>
    <w:rsid w:val="00AE67D8"/>
    <w:rsid w:val="00AF47F3"/>
    <w:rsid w:val="00AF7490"/>
    <w:rsid w:val="00B01C1F"/>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DAC"/>
    <w:rsid w:val="00B330D4"/>
    <w:rsid w:val="00B33E2C"/>
    <w:rsid w:val="00B33F24"/>
    <w:rsid w:val="00B4209D"/>
    <w:rsid w:val="00B42539"/>
    <w:rsid w:val="00B47E5F"/>
    <w:rsid w:val="00B50D7C"/>
    <w:rsid w:val="00B5323E"/>
    <w:rsid w:val="00B54A31"/>
    <w:rsid w:val="00B62714"/>
    <w:rsid w:val="00B659DF"/>
    <w:rsid w:val="00B662CC"/>
    <w:rsid w:val="00B72EB0"/>
    <w:rsid w:val="00B74668"/>
    <w:rsid w:val="00B749BD"/>
    <w:rsid w:val="00B768A1"/>
    <w:rsid w:val="00B77AA3"/>
    <w:rsid w:val="00B85D3D"/>
    <w:rsid w:val="00B90E61"/>
    <w:rsid w:val="00B9479A"/>
    <w:rsid w:val="00B9550E"/>
    <w:rsid w:val="00B96044"/>
    <w:rsid w:val="00B97FB4"/>
    <w:rsid w:val="00BA2A21"/>
    <w:rsid w:val="00BA3F6B"/>
    <w:rsid w:val="00BA5140"/>
    <w:rsid w:val="00BA6A9A"/>
    <w:rsid w:val="00BB4757"/>
    <w:rsid w:val="00BB7094"/>
    <w:rsid w:val="00BB7AED"/>
    <w:rsid w:val="00BC2957"/>
    <w:rsid w:val="00BC323D"/>
    <w:rsid w:val="00BC4451"/>
    <w:rsid w:val="00BC5F9C"/>
    <w:rsid w:val="00BD4DDE"/>
    <w:rsid w:val="00BE01EA"/>
    <w:rsid w:val="00BE2A86"/>
    <w:rsid w:val="00BE4744"/>
    <w:rsid w:val="00BE69E2"/>
    <w:rsid w:val="00BF05BA"/>
    <w:rsid w:val="00BF3BC6"/>
    <w:rsid w:val="00BF539F"/>
    <w:rsid w:val="00BF658B"/>
    <w:rsid w:val="00C01F11"/>
    <w:rsid w:val="00C0377C"/>
    <w:rsid w:val="00C03A0C"/>
    <w:rsid w:val="00C042AF"/>
    <w:rsid w:val="00C04708"/>
    <w:rsid w:val="00C04EB6"/>
    <w:rsid w:val="00C0606C"/>
    <w:rsid w:val="00C07005"/>
    <w:rsid w:val="00C07D67"/>
    <w:rsid w:val="00C14024"/>
    <w:rsid w:val="00C16913"/>
    <w:rsid w:val="00C17C69"/>
    <w:rsid w:val="00C17ECE"/>
    <w:rsid w:val="00C2002F"/>
    <w:rsid w:val="00C21029"/>
    <w:rsid w:val="00C23875"/>
    <w:rsid w:val="00C26D42"/>
    <w:rsid w:val="00C27455"/>
    <w:rsid w:val="00C34CAA"/>
    <w:rsid w:val="00C35944"/>
    <w:rsid w:val="00C37728"/>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95F"/>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93F"/>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59A3"/>
    <w:rsid w:val="00D371C1"/>
    <w:rsid w:val="00D40602"/>
    <w:rsid w:val="00D42174"/>
    <w:rsid w:val="00D42FCA"/>
    <w:rsid w:val="00D442D3"/>
    <w:rsid w:val="00D44A55"/>
    <w:rsid w:val="00D47D64"/>
    <w:rsid w:val="00D5071D"/>
    <w:rsid w:val="00D50D15"/>
    <w:rsid w:val="00D51ABD"/>
    <w:rsid w:val="00D548BA"/>
    <w:rsid w:val="00D60025"/>
    <w:rsid w:val="00D65469"/>
    <w:rsid w:val="00D70487"/>
    <w:rsid w:val="00D73DE3"/>
    <w:rsid w:val="00D74BD7"/>
    <w:rsid w:val="00D75217"/>
    <w:rsid w:val="00D81A87"/>
    <w:rsid w:val="00D82140"/>
    <w:rsid w:val="00D82721"/>
    <w:rsid w:val="00D832B5"/>
    <w:rsid w:val="00D85912"/>
    <w:rsid w:val="00D86E85"/>
    <w:rsid w:val="00D86EB9"/>
    <w:rsid w:val="00D90D50"/>
    <w:rsid w:val="00D91E32"/>
    <w:rsid w:val="00D93DF4"/>
    <w:rsid w:val="00DA2563"/>
    <w:rsid w:val="00DA2FC1"/>
    <w:rsid w:val="00DA76AE"/>
    <w:rsid w:val="00DB1E6C"/>
    <w:rsid w:val="00DB2A5F"/>
    <w:rsid w:val="00DB5540"/>
    <w:rsid w:val="00DC11E4"/>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0CF"/>
    <w:rsid w:val="00E123AC"/>
    <w:rsid w:val="00E147D2"/>
    <w:rsid w:val="00E1743B"/>
    <w:rsid w:val="00E174E1"/>
    <w:rsid w:val="00E178A7"/>
    <w:rsid w:val="00E235CC"/>
    <w:rsid w:val="00E23A7E"/>
    <w:rsid w:val="00E26C20"/>
    <w:rsid w:val="00E2724B"/>
    <w:rsid w:val="00E31A1A"/>
    <w:rsid w:val="00E42BF8"/>
    <w:rsid w:val="00E42E5A"/>
    <w:rsid w:val="00E4446C"/>
    <w:rsid w:val="00E44573"/>
    <w:rsid w:val="00E51A1F"/>
    <w:rsid w:val="00E5334D"/>
    <w:rsid w:val="00E57A44"/>
    <w:rsid w:val="00E61E5B"/>
    <w:rsid w:val="00E6396D"/>
    <w:rsid w:val="00E63B61"/>
    <w:rsid w:val="00E64948"/>
    <w:rsid w:val="00E64F1A"/>
    <w:rsid w:val="00E6552D"/>
    <w:rsid w:val="00E74031"/>
    <w:rsid w:val="00E74760"/>
    <w:rsid w:val="00E77D61"/>
    <w:rsid w:val="00E80C7F"/>
    <w:rsid w:val="00E82C21"/>
    <w:rsid w:val="00E84228"/>
    <w:rsid w:val="00E8718A"/>
    <w:rsid w:val="00E907C3"/>
    <w:rsid w:val="00E90F2D"/>
    <w:rsid w:val="00E93255"/>
    <w:rsid w:val="00E963F7"/>
    <w:rsid w:val="00EA0735"/>
    <w:rsid w:val="00EA2058"/>
    <w:rsid w:val="00EA4DC4"/>
    <w:rsid w:val="00EB07CB"/>
    <w:rsid w:val="00EB0DC9"/>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79E8"/>
    <w:rsid w:val="00F336D2"/>
    <w:rsid w:val="00F4125B"/>
    <w:rsid w:val="00F415DC"/>
    <w:rsid w:val="00F41D09"/>
    <w:rsid w:val="00F42635"/>
    <w:rsid w:val="00F437E3"/>
    <w:rsid w:val="00F46254"/>
    <w:rsid w:val="00F50599"/>
    <w:rsid w:val="00F5082C"/>
    <w:rsid w:val="00F51778"/>
    <w:rsid w:val="00F545DC"/>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33D3"/>
    <w:rsid w:val="00FB42A7"/>
    <w:rsid w:val="00FC4B22"/>
    <w:rsid w:val="00FC5EC0"/>
    <w:rsid w:val="00FC6C60"/>
    <w:rsid w:val="00FD0F55"/>
    <w:rsid w:val="00FD20E6"/>
    <w:rsid w:val="00FD5814"/>
    <w:rsid w:val="00FD7899"/>
    <w:rsid w:val="00FE4F6C"/>
    <w:rsid w:val="00FE50F9"/>
    <w:rsid w:val="00FE5F72"/>
    <w:rsid w:val="00FE6651"/>
    <w:rsid w:val="00FE6731"/>
    <w:rsid w:val="00FF053B"/>
    <w:rsid w:val="00FF1D60"/>
    <w:rsid w:val="00FF42A1"/>
    <w:rsid w:val="00FF5FE0"/>
    <w:rsid w:val="01205D5C"/>
    <w:rsid w:val="01586F89"/>
    <w:rsid w:val="017A61F7"/>
    <w:rsid w:val="017D33CF"/>
    <w:rsid w:val="01853498"/>
    <w:rsid w:val="01C901A1"/>
    <w:rsid w:val="01E4674A"/>
    <w:rsid w:val="020A1737"/>
    <w:rsid w:val="0225536F"/>
    <w:rsid w:val="02AD1871"/>
    <w:rsid w:val="02C2228F"/>
    <w:rsid w:val="02CE17E8"/>
    <w:rsid w:val="02E01C88"/>
    <w:rsid w:val="032A52B1"/>
    <w:rsid w:val="033A29CA"/>
    <w:rsid w:val="03914CEF"/>
    <w:rsid w:val="03AD6239"/>
    <w:rsid w:val="03BA0B89"/>
    <w:rsid w:val="03FD4168"/>
    <w:rsid w:val="0406477E"/>
    <w:rsid w:val="04072E49"/>
    <w:rsid w:val="042C6D2F"/>
    <w:rsid w:val="042F78E2"/>
    <w:rsid w:val="043D6C25"/>
    <w:rsid w:val="04F27A0F"/>
    <w:rsid w:val="04FB7299"/>
    <w:rsid w:val="051D51DF"/>
    <w:rsid w:val="05230CD1"/>
    <w:rsid w:val="056703FD"/>
    <w:rsid w:val="05926A54"/>
    <w:rsid w:val="05A36F5B"/>
    <w:rsid w:val="05CF4E25"/>
    <w:rsid w:val="06345E06"/>
    <w:rsid w:val="067F3DDE"/>
    <w:rsid w:val="06AA70EB"/>
    <w:rsid w:val="06DF3840"/>
    <w:rsid w:val="06FC31AA"/>
    <w:rsid w:val="07046D8D"/>
    <w:rsid w:val="071D4AEC"/>
    <w:rsid w:val="07347FFB"/>
    <w:rsid w:val="074A3B33"/>
    <w:rsid w:val="07B74F40"/>
    <w:rsid w:val="0828143A"/>
    <w:rsid w:val="08346591"/>
    <w:rsid w:val="08CE42EF"/>
    <w:rsid w:val="08F33D56"/>
    <w:rsid w:val="09062803"/>
    <w:rsid w:val="0A167CBC"/>
    <w:rsid w:val="0A342878"/>
    <w:rsid w:val="0A4C0979"/>
    <w:rsid w:val="0A60366D"/>
    <w:rsid w:val="0A6071C9"/>
    <w:rsid w:val="0AA13B51"/>
    <w:rsid w:val="0AA90B70"/>
    <w:rsid w:val="0AAF1EFF"/>
    <w:rsid w:val="0ABE0ED6"/>
    <w:rsid w:val="0AD007F3"/>
    <w:rsid w:val="0AD6392F"/>
    <w:rsid w:val="0B626F71"/>
    <w:rsid w:val="0B7102DF"/>
    <w:rsid w:val="0B9C2483"/>
    <w:rsid w:val="0BA77B54"/>
    <w:rsid w:val="0BA80E28"/>
    <w:rsid w:val="0BAB0918"/>
    <w:rsid w:val="0BB27EF8"/>
    <w:rsid w:val="0BBE485C"/>
    <w:rsid w:val="0BFC73C5"/>
    <w:rsid w:val="0C0C0229"/>
    <w:rsid w:val="0C1E74E2"/>
    <w:rsid w:val="0C364685"/>
    <w:rsid w:val="0C51353F"/>
    <w:rsid w:val="0C87314F"/>
    <w:rsid w:val="0C8D4217"/>
    <w:rsid w:val="0C9462C4"/>
    <w:rsid w:val="0CA75583"/>
    <w:rsid w:val="0CD36378"/>
    <w:rsid w:val="0D074274"/>
    <w:rsid w:val="0D0D0332"/>
    <w:rsid w:val="0D243D8A"/>
    <w:rsid w:val="0D291423"/>
    <w:rsid w:val="0DC61A39"/>
    <w:rsid w:val="0DD51C7C"/>
    <w:rsid w:val="0DE13CE3"/>
    <w:rsid w:val="0DEF2DBD"/>
    <w:rsid w:val="0E1D7BE7"/>
    <w:rsid w:val="0E356072"/>
    <w:rsid w:val="0E356BBF"/>
    <w:rsid w:val="0E7864D9"/>
    <w:rsid w:val="0E8325FF"/>
    <w:rsid w:val="0E8B67DF"/>
    <w:rsid w:val="0E8F6873"/>
    <w:rsid w:val="0E910299"/>
    <w:rsid w:val="0E971AE4"/>
    <w:rsid w:val="0E9733D5"/>
    <w:rsid w:val="0EB14497"/>
    <w:rsid w:val="0EB75826"/>
    <w:rsid w:val="0EB9159E"/>
    <w:rsid w:val="0ECA33B2"/>
    <w:rsid w:val="0ED83C14"/>
    <w:rsid w:val="0EF00AD8"/>
    <w:rsid w:val="0F087E2F"/>
    <w:rsid w:val="0F0A004B"/>
    <w:rsid w:val="0F492922"/>
    <w:rsid w:val="0F7D6A03"/>
    <w:rsid w:val="0FC44D9A"/>
    <w:rsid w:val="10DC1574"/>
    <w:rsid w:val="110F1949"/>
    <w:rsid w:val="11307940"/>
    <w:rsid w:val="1131366D"/>
    <w:rsid w:val="1133418C"/>
    <w:rsid w:val="1143294E"/>
    <w:rsid w:val="11553800"/>
    <w:rsid w:val="11913845"/>
    <w:rsid w:val="11B06C88"/>
    <w:rsid w:val="11F1104F"/>
    <w:rsid w:val="11FD79F3"/>
    <w:rsid w:val="122D652B"/>
    <w:rsid w:val="12307DC9"/>
    <w:rsid w:val="12723B30"/>
    <w:rsid w:val="127A7296"/>
    <w:rsid w:val="128D6FC9"/>
    <w:rsid w:val="128F377D"/>
    <w:rsid w:val="12B74046"/>
    <w:rsid w:val="12C30C3D"/>
    <w:rsid w:val="13253BB0"/>
    <w:rsid w:val="13423688"/>
    <w:rsid w:val="13525ABF"/>
    <w:rsid w:val="13767A5D"/>
    <w:rsid w:val="13CB74DA"/>
    <w:rsid w:val="14302302"/>
    <w:rsid w:val="145F6743"/>
    <w:rsid w:val="14A423A8"/>
    <w:rsid w:val="14C50C9C"/>
    <w:rsid w:val="14CF1B1B"/>
    <w:rsid w:val="14E37374"/>
    <w:rsid w:val="15211C4B"/>
    <w:rsid w:val="15334487"/>
    <w:rsid w:val="156C2EC6"/>
    <w:rsid w:val="159D26C2"/>
    <w:rsid w:val="15A5462A"/>
    <w:rsid w:val="15D44A2E"/>
    <w:rsid w:val="16132863"/>
    <w:rsid w:val="164437DD"/>
    <w:rsid w:val="165102AA"/>
    <w:rsid w:val="166811C8"/>
    <w:rsid w:val="166B7621"/>
    <w:rsid w:val="169F551D"/>
    <w:rsid w:val="174A36DB"/>
    <w:rsid w:val="17C64F6E"/>
    <w:rsid w:val="17E56C0B"/>
    <w:rsid w:val="180C0E06"/>
    <w:rsid w:val="181B6E25"/>
    <w:rsid w:val="1842710A"/>
    <w:rsid w:val="184F33D6"/>
    <w:rsid w:val="18956BD8"/>
    <w:rsid w:val="18AB01A9"/>
    <w:rsid w:val="18C213AC"/>
    <w:rsid w:val="18D21BDA"/>
    <w:rsid w:val="18FB615B"/>
    <w:rsid w:val="194910F0"/>
    <w:rsid w:val="195645B9"/>
    <w:rsid w:val="197832BB"/>
    <w:rsid w:val="19A96D61"/>
    <w:rsid w:val="19AE61A3"/>
    <w:rsid w:val="19B2356A"/>
    <w:rsid w:val="19C77265"/>
    <w:rsid w:val="1A1C18A7"/>
    <w:rsid w:val="1A383CBF"/>
    <w:rsid w:val="1A5635E6"/>
    <w:rsid w:val="1AFD2812"/>
    <w:rsid w:val="1B041DF3"/>
    <w:rsid w:val="1B1458F5"/>
    <w:rsid w:val="1B5F12B0"/>
    <w:rsid w:val="1B8D003A"/>
    <w:rsid w:val="1B9211AC"/>
    <w:rsid w:val="1BA15893"/>
    <w:rsid w:val="1BC31CAE"/>
    <w:rsid w:val="1C6D3D2D"/>
    <w:rsid w:val="1C7F75A6"/>
    <w:rsid w:val="1C8B457A"/>
    <w:rsid w:val="1CAC0D1A"/>
    <w:rsid w:val="1CCC6940"/>
    <w:rsid w:val="1CD04682"/>
    <w:rsid w:val="1D0E3B88"/>
    <w:rsid w:val="1D28001A"/>
    <w:rsid w:val="1D954F84"/>
    <w:rsid w:val="1DE429ED"/>
    <w:rsid w:val="1E346727"/>
    <w:rsid w:val="1E545854"/>
    <w:rsid w:val="1EB37810"/>
    <w:rsid w:val="1EC028CD"/>
    <w:rsid w:val="1EDF295B"/>
    <w:rsid w:val="1EE35AC6"/>
    <w:rsid w:val="1EEB59CF"/>
    <w:rsid w:val="1F6711E3"/>
    <w:rsid w:val="1F705168"/>
    <w:rsid w:val="1F770DE5"/>
    <w:rsid w:val="1FD07B9A"/>
    <w:rsid w:val="2032136E"/>
    <w:rsid w:val="20615610"/>
    <w:rsid w:val="20713A86"/>
    <w:rsid w:val="20AB72FF"/>
    <w:rsid w:val="20B0637C"/>
    <w:rsid w:val="20BE5BD1"/>
    <w:rsid w:val="20C84600"/>
    <w:rsid w:val="20E71F9A"/>
    <w:rsid w:val="213B08E1"/>
    <w:rsid w:val="213D1BBA"/>
    <w:rsid w:val="216A2189"/>
    <w:rsid w:val="218B0B78"/>
    <w:rsid w:val="21A60641"/>
    <w:rsid w:val="21D50340"/>
    <w:rsid w:val="21D93944"/>
    <w:rsid w:val="21E806E9"/>
    <w:rsid w:val="2223659D"/>
    <w:rsid w:val="222F59A7"/>
    <w:rsid w:val="2237485C"/>
    <w:rsid w:val="2264640B"/>
    <w:rsid w:val="229D285B"/>
    <w:rsid w:val="22B365D8"/>
    <w:rsid w:val="237D2742"/>
    <w:rsid w:val="23C6058D"/>
    <w:rsid w:val="23DF20A4"/>
    <w:rsid w:val="247C6BAC"/>
    <w:rsid w:val="24B85237"/>
    <w:rsid w:val="24C30629"/>
    <w:rsid w:val="24C56B1E"/>
    <w:rsid w:val="24C90335"/>
    <w:rsid w:val="25251116"/>
    <w:rsid w:val="259F425C"/>
    <w:rsid w:val="25BF3725"/>
    <w:rsid w:val="25CD5C03"/>
    <w:rsid w:val="25E305D9"/>
    <w:rsid w:val="25F50CB6"/>
    <w:rsid w:val="2606448B"/>
    <w:rsid w:val="261E19ED"/>
    <w:rsid w:val="26263A75"/>
    <w:rsid w:val="263121A9"/>
    <w:rsid w:val="263C1196"/>
    <w:rsid w:val="266B71CA"/>
    <w:rsid w:val="26F92A28"/>
    <w:rsid w:val="27082C6B"/>
    <w:rsid w:val="272479DB"/>
    <w:rsid w:val="274C6FFB"/>
    <w:rsid w:val="280E42B1"/>
    <w:rsid w:val="28285372"/>
    <w:rsid w:val="2863070C"/>
    <w:rsid w:val="286F545C"/>
    <w:rsid w:val="28947A46"/>
    <w:rsid w:val="28DA4193"/>
    <w:rsid w:val="28E95C91"/>
    <w:rsid w:val="29787C34"/>
    <w:rsid w:val="29B6075C"/>
    <w:rsid w:val="29B81F73"/>
    <w:rsid w:val="29E21935"/>
    <w:rsid w:val="2A24600D"/>
    <w:rsid w:val="2A5A558B"/>
    <w:rsid w:val="2A7277D4"/>
    <w:rsid w:val="2A894EA8"/>
    <w:rsid w:val="2AC46EA9"/>
    <w:rsid w:val="2AE92110"/>
    <w:rsid w:val="2B255B99"/>
    <w:rsid w:val="2B3B74A1"/>
    <w:rsid w:val="2BBB474F"/>
    <w:rsid w:val="2BF33EE9"/>
    <w:rsid w:val="2C970D19"/>
    <w:rsid w:val="2CBB6F02"/>
    <w:rsid w:val="2CCA6938"/>
    <w:rsid w:val="2CFC7029"/>
    <w:rsid w:val="2D0677AA"/>
    <w:rsid w:val="2D095047"/>
    <w:rsid w:val="2D76092E"/>
    <w:rsid w:val="2D7C3A6A"/>
    <w:rsid w:val="2D7C5689"/>
    <w:rsid w:val="2DA03BFD"/>
    <w:rsid w:val="2DCD1F1E"/>
    <w:rsid w:val="2E1B5BCA"/>
    <w:rsid w:val="2E5F13C2"/>
    <w:rsid w:val="2E6C11DA"/>
    <w:rsid w:val="2E7D525B"/>
    <w:rsid w:val="2EA15E7F"/>
    <w:rsid w:val="2EC35DCA"/>
    <w:rsid w:val="2EF064BE"/>
    <w:rsid w:val="2EF835C5"/>
    <w:rsid w:val="2F1523C9"/>
    <w:rsid w:val="2F1831D3"/>
    <w:rsid w:val="2F367189"/>
    <w:rsid w:val="2F48451B"/>
    <w:rsid w:val="2F7E55F1"/>
    <w:rsid w:val="2FA95BB6"/>
    <w:rsid w:val="2FDE12AE"/>
    <w:rsid w:val="30083B8E"/>
    <w:rsid w:val="300A3308"/>
    <w:rsid w:val="3015345B"/>
    <w:rsid w:val="30224D9D"/>
    <w:rsid w:val="307F5D4C"/>
    <w:rsid w:val="308E41E1"/>
    <w:rsid w:val="30CA5CD0"/>
    <w:rsid w:val="30E71600"/>
    <w:rsid w:val="311E5564"/>
    <w:rsid w:val="312468F3"/>
    <w:rsid w:val="31523460"/>
    <w:rsid w:val="320A5AE9"/>
    <w:rsid w:val="321C581F"/>
    <w:rsid w:val="322E4F1A"/>
    <w:rsid w:val="32327209"/>
    <w:rsid w:val="32713375"/>
    <w:rsid w:val="328E3BC4"/>
    <w:rsid w:val="32934C0E"/>
    <w:rsid w:val="32DE2D20"/>
    <w:rsid w:val="32EC3440"/>
    <w:rsid w:val="32F1316C"/>
    <w:rsid w:val="330864CC"/>
    <w:rsid w:val="338D077F"/>
    <w:rsid w:val="33BE37BC"/>
    <w:rsid w:val="33EF143A"/>
    <w:rsid w:val="33F60CE0"/>
    <w:rsid w:val="340B5FBB"/>
    <w:rsid w:val="341D5FA7"/>
    <w:rsid w:val="341D6657"/>
    <w:rsid w:val="342E0945"/>
    <w:rsid w:val="343E7CCC"/>
    <w:rsid w:val="345C0152"/>
    <w:rsid w:val="34757B91"/>
    <w:rsid w:val="348C0A37"/>
    <w:rsid w:val="34B45D01"/>
    <w:rsid w:val="351115DB"/>
    <w:rsid w:val="3518688A"/>
    <w:rsid w:val="352549E8"/>
    <w:rsid w:val="353A7E23"/>
    <w:rsid w:val="354958E3"/>
    <w:rsid w:val="359009FB"/>
    <w:rsid w:val="3592207D"/>
    <w:rsid w:val="359F69FF"/>
    <w:rsid w:val="36127662"/>
    <w:rsid w:val="36266C69"/>
    <w:rsid w:val="36325B4D"/>
    <w:rsid w:val="36557EB3"/>
    <w:rsid w:val="368D09BB"/>
    <w:rsid w:val="36963088"/>
    <w:rsid w:val="36A108E4"/>
    <w:rsid w:val="36BB1AA7"/>
    <w:rsid w:val="36CA5847"/>
    <w:rsid w:val="36E17903"/>
    <w:rsid w:val="36EE59D9"/>
    <w:rsid w:val="3720190B"/>
    <w:rsid w:val="374607EA"/>
    <w:rsid w:val="374E63E7"/>
    <w:rsid w:val="37A92C8C"/>
    <w:rsid w:val="37D810B0"/>
    <w:rsid w:val="381551E7"/>
    <w:rsid w:val="3882287D"/>
    <w:rsid w:val="388A1666"/>
    <w:rsid w:val="3898045B"/>
    <w:rsid w:val="38AF58A5"/>
    <w:rsid w:val="38C40167"/>
    <w:rsid w:val="39A22AAB"/>
    <w:rsid w:val="39A96F8E"/>
    <w:rsid w:val="39BF365D"/>
    <w:rsid w:val="39F33306"/>
    <w:rsid w:val="3A156272"/>
    <w:rsid w:val="3A25026D"/>
    <w:rsid w:val="3A4122C4"/>
    <w:rsid w:val="3A7A77C8"/>
    <w:rsid w:val="3A9A748F"/>
    <w:rsid w:val="3AA86A54"/>
    <w:rsid w:val="3AF9494C"/>
    <w:rsid w:val="3B003F2D"/>
    <w:rsid w:val="3B131EB2"/>
    <w:rsid w:val="3B8E3833"/>
    <w:rsid w:val="3B955086"/>
    <w:rsid w:val="3BA77CCD"/>
    <w:rsid w:val="3BAF03A5"/>
    <w:rsid w:val="3BBC42F8"/>
    <w:rsid w:val="3C2F320D"/>
    <w:rsid w:val="3C3D4BF2"/>
    <w:rsid w:val="3C99235D"/>
    <w:rsid w:val="3D0C5168"/>
    <w:rsid w:val="3D235CB1"/>
    <w:rsid w:val="3D780336"/>
    <w:rsid w:val="3D9D1F07"/>
    <w:rsid w:val="3D9E0548"/>
    <w:rsid w:val="3DED3F89"/>
    <w:rsid w:val="3E0A65B6"/>
    <w:rsid w:val="3E4D4B98"/>
    <w:rsid w:val="3E5D1C81"/>
    <w:rsid w:val="3E6F5651"/>
    <w:rsid w:val="3F2D1069"/>
    <w:rsid w:val="3FB63A51"/>
    <w:rsid w:val="3FB84DD6"/>
    <w:rsid w:val="3FB928FC"/>
    <w:rsid w:val="3FCF2120"/>
    <w:rsid w:val="3FD3598D"/>
    <w:rsid w:val="3FE80F3F"/>
    <w:rsid w:val="40041DC9"/>
    <w:rsid w:val="40160E46"/>
    <w:rsid w:val="40185875"/>
    <w:rsid w:val="40321FEF"/>
    <w:rsid w:val="4075586D"/>
    <w:rsid w:val="4081166C"/>
    <w:rsid w:val="40CB28E7"/>
    <w:rsid w:val="411E335F"/>
    <w:rsid w:val="41387338"/>
    <w:rsid w:val="415723CD"/>
    <w:rsid w:val="417074C5"/>
    <w:rsid w:val="418103E9"/>
    <w:rsid w:val="418B7876"/>
    <w:rsid w:val="419929E5"/>
    <w:rsid w:val="41B415CD"/>
    <w:rsid w:val="41F8595E"/>
    <w:rsid w:val="423E2C0A"/>
    <w:rsid w:val="424F14BB"/>
    <w:rsid w:val="42AB29D0"/>
    <w:rsid w:val="42B42DF9"/>
    <w:rsid w:val="42EA0036"/>
    <w:rsid w:val="43031913"/>
    <w:rsid w:val="43177A73"/>
    <w:rsid w:val="43324E9F"/>
    <w:rsid w:val="43384B87"/>
    <w:rsid w:val="433C57F6"/>
    <w:rsid w:val="4355386A"/>
    <w:rsid w:val="435B7B93"/>
    <w:rsid w:val="43617CE6"/>
    <w:rsid w:val="43801F1D"/>
    <w:rsid w:val="43A11430"/>
    <w:rsid w:val="43A259D0"/>
    <w:rsid w:val="43B6162D"/>
    <w:rsid w:val="43F03558"/>
    <w:rsid w:val="440C3942"/>
    <w:rsid w:val="44960181"/>
    <w:rsid w:val="44BD69EB"/>
    <w:rsid w:val="44CE0BF8"/>
    <w:rsid w:val="44DC3315"/>
    <w:rsid w:val="4517131B"/>
    <w:rsid w:val="45BE673C"/>
    <w:rsid w:val="45E068B0"/>
    <w:rsid w:val="45E93B4B"/>
    <w:rsid w:val="45EE7D8D"/>
    <w:rsid w:val="46015357"/>
    <w:rsid w:val="4646138E"/>
    <w:rsid w:val="467C6091"/>
    <w:rsid w:val="46E14C12"/>
    <w:rsid w:val="47046B53"/>
    <w:rsid w:val="471A6376"/>
    <w:rsid w:val="47492F5C"/>
    <w:rsid w:val="475345C1"/>
    <w:rsid w:val="476E08C4"/>
    <w:rsid w:val="47925F0D"/>
    <w:rsid w:val="47990E08"/>
    <w:rsid w:val="47C50090"/>
    <w:rsid w:val="47C87B80"/>
    <w:rsid w:val="480627F2"/>
    <w:rsid w:val="482A09DD"/>
    <w:rsid w:val="48376AB4"/>
    <w:rsid w:val="484F2050"/>
    <w:rsid w:val="48A00AFD"/>
    <w:rsid w:val="48A96722"/>
    <w:rsid w:val="48B27CA9"/>
    <w:rsid w:val="48D53595"/>
    <w:rsid w:val="49011FF5"/>
    <w:rsid w:val="493E77EE"/>
    <w:rsid w:val="4968786D"/>
    <w:rsid w:val="497F7765"/>
    <w:rsid w:val="49A07715"/>
    <w:rsid w:val="49B04D70"/>
    <w:rsid w:val="49C01457"/>
    <w:rsid w:val="49D97E23"/>
    <w:rsid w:val="49DF52A1"/>
    <w:rsid w:val="4A3D4856"/>
    <w:rsid w:val="4A5C2802"/>
    <w:rsid w:val="4A834233"/>
    <w:rsid w:val="4ABD24B3"/>
    <w:rsid w:val="4AF60EA8"/>
    <w:rsid w:val="4B7F49FA"/>
    <w:rsid w:val="4BDC009E"/>
    <w:rsid w:val="4BEE2184"/>
    <w:rsid w:val="4C03562B"/>
    <w:rsid w:val="4C0B15B2"/>
    <w:rsid w:val="4C51283A"/>
    <w:rsid w:val="4C601EC0"/>
    <w:rsid w:val="4CA74B4B"/>
    <w:rsid w:val="4CA94424"/>
    <w:rsid w:val="4CBD7ED0"/>
    <w:rsid w:val="4CEC0A5C"/>
    <w:rsid w:val="4D094EC3"/>
    <w:rsid w:val="4D31744A"/>
    <w:rsid w:val="4D6B16DA"/>
    <w:rsid w:val="4DD70FFB"/>
    <w:rsid w:val="4E896CF3"/>
    <w:rsid w:val="4EAD5D22"/>
    <w:rsid w:val="4EB42C0C"/>
    <w:rsid w:val="4F0C47F7"/>
    <w:rsid w:val="4FAE1D52"/>
    <w:rsid w:val="5060049E"/>
    <w:rsid w:val="50FE3B5D"/>
    <w:rsid w:val="511D682A"/>
    <w:rsid w:val="51255DA0"/>
    <w:rsid w:val="5135267A"/>
    <w:rsid w:val="517900DB"/>
    <w:rsid w:val="51796D1B"/>
    <w:rsid w:val="51A03B11"/>
    <w:rsid w:val="51EA65FC"/>
    <w:rsid w:val="51F6353C"/>
    <w:rsid w:val="5248023B"/>
    <w:rsid w:val="534704F3"/>
    <w:rsid w:val="54092EF7"/>
    <w:rsid w:val="54485B16"/>
    <w:rsid w:val="544B5532"/>
    <w:rsid w:val="54BF2B99"/>
    <w:rsid w:val="54CF7175"/>
    <w:rsid w:val="54DD775A"/>
    <w:rsid w:val="54DF33AD"/>
    <w:rsid w:val="54EB1352"/>
    <w:rsid w:val="552933F5"/>
    <w:rsid w:val="559E17AC"/>
    <w:rsid w:val="55B24892"/>
    <w:rsid w:val="55BE25C3"/>
    <w:rsid w:val="55C0633B"/>
    <w:rsid w:val="55D013C0"/>
    <w:rsid w:val="55E4027B"/>
    <w:rsid w:val="55EC5382"/>
    <w:rsid w:val="55F83D27"/>
    <w:rsid w:val="562A65F6"/>
    <w:rsid w:val="56356E4F"/>
    <w:rsid w:val="56A15984"/>
    <w:rsid w:val="56B41E25"/>
    <w:rsid w:val="56E85F15"/>
    <w:rsid w:val="572648C3"/>
    <w:rsid w:val="57325016"/>
    <w:rsid w:val="575D64CC"/>
    <w:rsid w:val="57AE79CC"/>
    <w:rsid w:val="57E97DCB"/>
    <w:rsid w:val="5803460F"/>
    <w:rsid w:val="584165B2"/>
    <w:rsid w:val="584F18E4"/>
    <w:rsid w:val="58AB32D2"/>
    <w:rsid w:val="58D3205C"/>
    <w:rsid w:val="58EE1813"/>
    <w:rsid w:val="58F406A3"/>
    <w:rsid w:val="591C41D0"/>
    <w:rsid w:val="5931649C"/>
    <w:rsid w:val="593D5DD4"/>
    <w:rsid w:val="594C0103"/>
    <w:rsid w:val="597E59C8"/>
    <w:rsid w:val="59831B59"/>
    <w:rsid w:val="59EA1BD8"/>
    <w:rsid w:val="59FA62BF"/>
    <w:rsid w:val="5A12625C"/>
    <w:rsid w:val="5A4F7C8D"/>
    <w:rsid w:val="5AAE149C"/>
    <w:rsid w:val="5AB75F5E"/>
    <w:rsid w:val="5ABF3065"/>
    <w:rsid w:val="5AE8436A"/>
    <w:rsid w:val="5AFB03F9"/>
    <w:rsid w:val="5B136F0D"/>
    <w:rsid w:val="5B1B7851"/>
    <w:rsid w:val="5B1C04B7"/>
    <w:rsid w:val="5B80134A"/>
    <w:rsid w:val="5BBC3F73"/>
    <w:rsid w:val="5C1B0060"/>
    <w:rsid w:val="5C8005D2"/>
    <w:rsid w:val="5CC901CB"/>
    <w:rsid w:val="5CDF030F"/>
    <w:rsid w:val="5D333896"/>
    <w:rsid w:val="5DA402F0"/>
    <w:rsid w:val="5DCA1F46"/>
    <w:rsid w:val="5E345B18"/>
    <w:rsid w:val="5E4F4700"/>
    <w:rsid w:val="5E5D506F"/>
    <w:rsid w:val="5F0E3623"/>
    <w:rsid w:val="5F1F0E01"/>
    <w:rsid w:val="5F1F7677"/>
    <w:rsid w:val="5F41134C"/>
    <w:rsid w:val="5F571ABE"/>
    <w:rsid w:val="5F5A335C"/>
    <w:rsid w:val="5F6C5C7E"/>
    <w:rsid w:val="5F812FDF"/>
    <w:rsid w:val="5FA6034F"/>
    <w:rsid w:val="5FB97F54"/>
    <w:rsid w:val="601B265B"/>
    <w:rsid w:val="602269F9"/>
    <w:rsid w:val="605E0C2A"/>
    <w:rsid w:val="609E047E"/>
    <w:rsid w:val="60B85FF5"/>
    <w:rsid w:val="60D777F7"/>
    <w:rsid w:val="610C1869"/>
    <w:rsid w:val="611F660B"/>
    <w:rsid w:val="611F6782"/>
    <w:rsid w:val="612E2CF2"/>
    <w:rsid w:val="615734FE"/>
    <w:rsid w:val="61706E67"/>
    <w:rsid w:val="61912710"/>
    <w:rsid w:val="61FA4982"/>
    <w:rsid w:val="622639C9"/>
    <w:rsid w:val="629372B1"/>
    <w:rsid w:val="62C16D26"/>
    <w:rsid w:val="62C76F5B"/>
    <w:rsid w:val="62F92E8C"/>
    <w:rsid w:val="630C56DC"/>
    <w:rsid w:val="63243CB4"/>
    <w:rsid w:val="636E73D6"/>
    <w:rsid w:val="63892462"/>
    <w:rsid w:val="638B451E"/>
    <w:rsid w:val="64002B70"/>
    <w:rsid w:val="6416019A"/>
    <w:rsid w:val="6429154F"/>
    <w:rsid w:val="64411F4B"/>
    <w:rsid w:val="64721148"/>
    <w:rsid w:val="64807857"/>
    <w:rsid w:val="64A01811"/>
    <w:rsid w:val="652C579B"/>
    <w:rsid w:val="65B23EF2"/>
    <w:rsid w:val="65C95CD8"/>
    <w:rsid w:val="65D8322D"/>
    <w:rsid w:val="65F91959"/>
    <w:rsid w:val="660D2ED6"/>
    <w:rsid w:val="66CA7019"/>
    <w:rsid w:val="67116334"/>
    <w:rsid w:val="6721634F"/>
    <w:rsid w:val="672F4561"/>
    <w:rsid w:val="67445CEF"/>
    <w:rsid w:val="67642FCA"/>
    <w:rsid w:val="67DC3378"/>
    <w:rsid w:val="67E90086"/>
    <w:rsid w:val="6831600D"/>
    <w:rsid w:val="683F0F30"/>
    <w:rsid w:val="68991C3F"/>
    <w:rsid w:val="68A322CF"/>
    <w:rsid w:val="68DC3767"/>
    <w:rsid w:val="690B3981"/>
    <w:rsid w:val="694D5CE0"/>
    <w:rsid w:val="699458C2"/>
    <w:rsid w:val="6A30486D"/>
    <w:rsid w:val="6A4964A7"/>
    <w:rsid w:val="6A555FA0"/>
    <w:rsid w:val="6A7E4421"/>
    <w:rsid w:val="6AA732A6"/>
    <w:rsid w:val="6ACB3360"/>
    <w:rsid w:val="6AD3765D"/>
    <w:rsid w:val="6B07083C"/>
    <w:rsid w:val="6B1D2D38"/>
    <w:rsid w:val="6B2C2051"/>
    <w:rsid w:val="6B9D2F4E"/>
    <w:rsid w:val="6BBB2383"/>
    <w:rsid w:val="6BCD0AFC"/>
    <w:rsid w:val="6BFB1A23"/>
    <w:rsid w:val="6C6C00BA"/>
    <w:rsid w:val="6C924135"/>
    <w:rsid w:val="6CED3A62"/>
    <w:rsid w:val="6D0E33E1"/>
    <w:rsid w:val="6D161E0E"/>
    <w:rsid w:val="6D1D3A10"/>
    <w:rsid w:val="6D2B2A93"/>
    <w:rsid w:val="6D505D9E"/>
    <w:rsid w:val="6D5B09CB"/>
    <w:rsid w:val="6D5F7BD0"/>
    <w:rsid w:val="6D716073"/>
    <w:rsid w:val="6D7B5B8E"/>
    <w:rsid w:val="6D8E2425"/>
    <w:rsid w:val="6DDA2238"/>
    <w:rsid w:val="6DEA7FA1"/>
    <w:rsid w:val="6DF0745F"/>
    <w:rsid w:val="6E4027F5"/>
    <w:rsid w:val="6E8B3D8C"/>
    <w:rsid w:val="6EC32CCC"/>
    <w:rsid w:val="6EF015E7"/>
    <w:rsid w:val="6F295EC6"/>
    <w:rsid w:val="6F3E05A4"/>
    <w:rsid w:val="6F6330AE"/>
    <w:rsid w:val="6F755C7D"/>
    <w:rsid w:val="6F871F4B"/>
    <w:rsid w:val="6FAA5C3A"/>
    <w:rsid w:val="6FD4753D"/>
    <w:rsid w:val="6FFB3825"/>
    <w:rsid w:val="6FFB46E7"/>
    <w:rsid w:val="701521C2"/>
    <w:rsid w:val="70223C3E"/>
    <w:rsid w:val="704B11CB"/>
    <w:rsid w:val="704B3438"/>
    <w:rsid w:val="70B328CC"/>
    <w:rsid w:val="70C80666"/>
    <w:rsid w:val="70D32F6E"/>
    <w:rsid w:val="70DA254F"/>
    <w:rsid w:val="70EF2197"/>
    <w:rsid w:val="71552E50"/>
    <w:rsid w:val="71601FDB"/>
    <w:rsid w:val="719C5987"/>
    <w:rsid w:val="71D46DD7"/>
    <w:rsid w:val="71D53F0D"/>
    <w:rsid w:val="71DB032D"/>
    <w:rsid w:val="71DE1BCB"/>
    <w:rsid w:val="71F542A1"/>
    <w:rsid w:val="71FE729A"/>
    <w:rsid w:val="725325B9"/>
    <w:rsid w:val="725F0F5E"/>
    <w:rsid w:val="7267415F"/>
    <w:rsid w:val="7276222A"/>
    <w:rsid w:val="72D71FDF"/>
    <w:rsid w:val="72EB27F1"/>
    <w:rsid w:val="72FF629D"/>
    <w:rsid w:val="73143404"/>
    <w:rsid w:val="733F060C"/>
    <w:rsid w:val="735C1231"/>
    <w:rsid w:val="736629D1"/>
    <w:rsid w:val="73740A39"/>
    <w:rsid w:val="73BE193C"/>
    <w:rsid w:val="73E3028B"/>
    <w:rsid w:val="742A7ABE"/>
    <w:rsid w:val="742D494E"/>
    <w:rsid w:val="74454296"/>
    <w:rsid w:val="74534AF2"/>
    <w:rsid w:val="745B7A81"/>
    <w:rsid w:val="7463285B"/>
    <w:rsid w:val="748E78D8"/>
    <w:rsid w:val="74BB4445"/>
    <w:rsid w:val="74FD680C"/>
    <w:rsid w:val="750D5DB3"/>
    <w:rsid w:val="75357D54"/>
    <w:rsid w:val="75596138"/>
    <w:rsid w:val="75630B78"/>
    <w:rsid w:val="757B54EE"/>
    <w:rsid w:val="75855809"/>
    <w:rsid w:val="758A5319"/>
    <w:rsid w:val="75986535"/>
    <w:rsid w:val="75DA0985"/>
    <w:rsid w:val="764C7A4B"/>
    <w:rsid w:val="7650466E"/>
    <w:rsid w:val="766A10B5"/>
    <w:rsid w:val="766E5C13"/>
    <w:rsid w:val="7677439C"/>
    <w:rsid w:val="76A41B15"/>
    <w:rsid w:val="77356731"/>
    <w:rsid w:val="77381774"/>
    <w:rsid w:val="773C7ABF"/>
    <w:rsid w:val="77AE57C8"/>
    <w:rsid w:val="77C27899"/>
    <w:rsid w:val="77FA1FE6"/>
    <w:rsid w:val="78112CFA"/>
    <w:rsid w:val="781A76D5"/>
    <w:rsid w:val="784C4C20"/>
    <w:rsid w:val="7859644F"/>
    <w:rsid w:val="78721C9A"/>
    <w:rsid w:val="787B4617"/>
    <w:rsid w:val="7883527A"/>
    <w:rsid w:val="78BE2756"/>
    <w:rsid w:val="78CA4586"/>
    <w:rsid w:val="78D33B40"/>
    <w:rsid w:val="790C526F"/>
    <w:rsid w:val="79196F61"/>
    <w:rsid w:val="791B1956"/>
    <w:rsid w:val="79314BC4"/>
    <w:rsid w:val="795A5FDB"/>
    <w:rsid w:val="797A1FA2"/>
    <w:rsid w:val="797E663F"/>
    <w:rsid w:val="79943C50"/>
    <w:rsid w:val="79D331BC"/>
    <w:rsid w:val="7A541141"/>
    <w:rsid w:val="7A715CD2"/>
    <w:rsid w:val="7A807CC3"/>
    <w:rsid w:val="7AF32EBB"/>
    <w:rsid w:val="7B4231CA"/>
    <w:rsid w:val="7B4C4049"/>
    <w:rsid w:val="7B5449DA"/>
    <w:rsid w:val="7B807355"/>
    <w:rsid w:val="7BF24BF0"/>
    <w:rsid w:val="7C380BA0"/>
    <w:rsid w:val="7C8E0CE7"/>
    <w:rsid w:val="7CA9476E"/>
    <w:rsid w:val="7CAC2D59"/>
    <w:rsid w:val="7CAC3862"/>
    <w:rsid w:val="7CC6249B"/>
    <w:rsid w:val="7CD2057E"/>
    <w:rsid w:val="7CD6006E"/>
    <w:rsid w:val="7CEE0851"/>
    <w:rsid w:val="7CF93D5D"/>
    <w:rsid w:val="7D52346D"/>
    <w:rsid w:val="7D6D33CF"/>
    <w:rsid w:val="7DBD01ED"/>
    <w:rsid w:val="7DF07DEB"/>
    <w:rsid w:val="7E005BE7"/>
    <w:rsid w:val="7E7C69F3"/>
    <w:rsid w:val="7E8A6150"/>
    <w:rsid w:val="7EC363D0"/>
    <w:rsid w:val="7F0A15FC"/>
    <w:rsid w:val="7F0C2BFC"/>
    <w:rsid w:val="7F2C0C33"/>
    <w:rsid w:val="7F2D4191"/>
    <w:rsid w:val="7F3D66B9"/>
    <w:rsid w:val="7F767868"/>
    <w:rsid w:val="7F844E8C"/>
    <w:rsid w:val="7F9F6E3D"/>
    <w:rsid w:val="7FA75CF2"/>
    <w:rsid w:val="7FE75214"/>
    <w:rsid w:val="7FF12F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rPr>
  </w:style>
  <w:style w:type="paragraph" w:styleId="2">
    <w:name w:val="heading 1"/>
    <w:basedOn w:val="1"/>
    <w:next w:val="1"/>
    <w:link w:val="12"/>
    <w:qFormat/>
    <w:uiPriority w:val="9"/>
    <w:pPr>
      <w:keepNext/>
      <w:keepLines/>
      <w:spacing w:before="340" w:after="330"/>
      <w:jc w:val="left"/>
      <w:outlineLvl w:val="0"/>
    </w:pPr>
    <w:rPr>
      <w:rFonts w:eastAsia="黑体"/>
      <w:b/>
      <w:kern w:val="44"/>
      <w:sz w:val="32"/>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link w:val="13"/>
    <w:qFormat/>
    <w:uiPriority w:val="0"/>
  </w:style>
  <w:style w:type="paragraph" w:styleId="4">
    <w:name w:val="Balloon Text"/>
    <w:basedOn w:val="1"/>
    <w:link w:val="14"/>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link w:val="17"/>
    <w:unhideWhenUsed/>
    <w:qFormat/>
    <w:uiPriority w:val="39"/>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unhideWhenUsed/>
    <w:qFormat/>
    <w:uiPriority w:val="99"/>
    <w:rPr>
      <w:color w:val="0000FF"/>
      <w:u w:val="single"/>
    </w:rPr>
  </w:style>
  <w:style w:type="character" w:customStyle="1" w:styleId="12">
    <w:name w:val="标题 1 Char"/>
    <w:link w:val="2"/>
    <w:qFormat/>
    <w:uiPriority w:val="9"/>
    <w:rPr>
      <w:rFonts w:eastAsia="黑体"/>
      <w:b/>
      <w:kern w:val="44"/>
      <w:sz w:val="32"/>
    </w:rPr>
  </w:style>
  <w:style w:type="character" w:customStyle="1" w:styleId="13">
    <w:name w:val="正文文本 字符"/>
    <w:basedOn w:val="10"/>
    <w:link w:val="3"/>
    <w:qFormat/>
    <w:uiPriority w:val="1"/>
  </w:style>
  <w:style w:type="character" w:customStyle="1" w:styleId="14">
    <w:name w:val="批注框文本 字符"/>
    <w:basedOn w:val="10"/>
    <w:link w:val="4"/>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页眉 字符"/>
    <w:basedOn w:val="10"/>
    <w:link w:val="6"/>
    <w:qFormat/>
    <w:uiPriority w:val="99"/>
    <w:rPr>
      <w:sz w:val="18"/>
      <w:szCs w:val="18"/>
    </w:rPr>
  </w:style>
  <w:style w:type="character" w:customStyle="1" w:styleId="17">
    <w:name w:val="TOC 1 字符"/>
    <w:basedOn w:val="10"/>
    <w:link w:val="7"/>
    <w:qFormat/>
    <w:uiPriority w:val="39"/>
    <w:rPr>
      <w:rFonts w:ascii="Calibri" w:hAnsi="Calibri" w:eastAsia="宋体" w:cs="Times New Roman"/>
      <w:kern w:val="2"/>
      <w:sz w:val="21"/>
      <w:szCs w:val="22"/>
    </w:rPr>
  </w:style>
  <w:style w:type="paragraph" w:customStyle="1" w:styleId="1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列出段落1"/>
    <w:basedOn w:val="1"/>
    <w:qFormat/>
    <w:uiPriority w:val="34"/>
    <w:pPr>
      <w:spacing w:line="276" w:lineRule="auto"/>
      <w:ind w:firstLine="420" w:firstLineChars="200"/>
    </w:pPr>
  </w:style>
  <w:style w:type="paragraph" w:styleId="20">
    <w:name w:val="List Paragraph"/>
    <w:basedOn w:val="1"/>
    <w:unhideWhenUsed/>
    <w:qFormat/>
    <w:uiPriority w:val="99"/>
    <w:pPr>
      <w:spacing w:line="276" w:lineRule="auto"/>
      <w:ind w:firstLine="420" w:firstLineChars="200"/>
    </w:pPr>
  </w:style>
  <w:style w:type="character" w:customStyle="1" w:styleId="21">
    <w:name w:val="pattern-text"/>
    <w:basedOn w:val="10"/>
    <w:qFormat/>
    <w:uiPriority w:val="0"/>
  </w:style>
  <w:style w:type="character" w:customStyle="1" w:styleId="22">
    <w:name w:val="indent"/>
    <w:basedOn w:val="10"/>
    <w:qFormat/>
    <w:uiPriority w:val="0"/>
  </w:style>
  <w:style w:type="character" w:customStyle="1" w:styleId="23">
    <w:name w:val="font01"/>
    <w:basedOn w:val="10"/>
    <w:qFormat/>
    <w:uiPriority w:val="0"/>
    <w:rPr>
      <w:rFonts w:hint="eastAsia" w:ascii="宋体" w:hAnsi="宋体" w:eastAsia="宋体" w:cs="宋体"/>
      <w:color w:val="000000"/>
      <w:sz w:val="22"/>
      <w:szCs w:val="22"/>
      <w:u w:val="none"/>
    </w:rPr>
  </w:style>
  <w:style w:type="character" w:customStyle="1" w:styleId="24">
    <w:name w:val="font21"/>
    <w:basedOn w:val="10"/>
    <w:qFormat/>
    <w:uiPriority w:val="0"/>
    <w:rPr>
      <w:rFonts w:hint="eastAsia" w:ascii="宋体" w:hAnsi="宋体" w:eastAsia="宋体" w:cs="宋体"/>
      <w:color w:val="000000"/>
      <w:sz w:val="18"/>
      <w:szCs w:val="18"/>
      <w:u w:val="none"/>
    </w:rPr>
  </w:style>
  <w:style w:type="paragraph" w:customStyle="1" w:styleId="25">
    <w:name w:val="TOC11"/>
    <w:basedOn w:val="7"/>
    <w:link w:val="26"/>
    <w:qFormat/>
    <w:uiPriority w:val="0"/>
    <w:pPr>
      <w:tabs>
        <w:tab w:val="right" w:leader="dot" w:pos="8306"/>
      </w:tabs>
    </w:pPr>
    <w:rPr>
      <w:rFonts w:ascii="宋体" w:hAnsi="宋体" w:eastAsia="宋体" w:cs="宋体"/>
      <w:b/>
      <w:bCs/>
      <w:sz w:val="36"/>
      <w:szCs w:val="36"/>
    </w:rPr>
  </w:style>
  <w:style w:type="character" w:customStyle="1" w:styleId="26">
    <w:name w:val="TOC11 字符"/>
    <w:basedOn w:val="17"/>
    <w:link w:val="25"/>
    <w:qFormat/>
    <w:uiPriority w:val="0"/>
    <w:rPr>
      <w:rFonts w:ascii="宋体" w:hAnsi="宋体" w:eastAsia="宋体" w:cs="宋体"/>
      <w:b/>
      <w:bCs/>
      <w:kern w:val="2"/>
      <w:sz w:val="36"/>
      <w:szCs w:val="36"/>
    </w:rPr>
  </w:style>
  <w:style w:type="paragraph" w:customStyle="1" w:styleId="27">
    <w:name w:val="TOC22"/>
    <w:basedOn w:val="7"/>
    <w:link w:val="28"/>
    <w:qFormat/>
    <w:uiPriority w:val="0"/>
    <w:pPr>
      <w:tabs>
        <w:tab w:val="right" w:leader="dot" w:pos="8306"/>
      </w:tabs>
    </w:pPr>
    <w:rPr>
      <w:rFonts w:ascii="宋体" w:hAnsi="宋体" w:eastAsia="宋体" w:cs="宋体"/>
      <w:sz w:val="36"/>
      <w:szCs w:val="36"/>
    </w:rPr>
  </w:style>
  <w:style w:type="character" w:customStyle="1" w:styleId="28">
    <w:name w:val="TOC22 字符"/>
    <w:basedOn w:val="17"/>
    <w:link w:val="27"/>
    <w:qFormat/>
    <w:uiPriority w:val="0"/>
    <w:rPr>
      <w:rFonts w:ascii="宋体" w:hAnsi="宋体" w:eastAsia="宋体" w:cs="宋体"/>
      <w:kern w:val="2"/>
      <w:sz w:val="36"/>
      <w:szCs w:val="36"/>
    </w:rPr>
  </w:style>
  <w:style w:type="table" w:customStyle="1" w:styleId="29">
    <w:name w:val="Table Normal"/>
    <w:semiHidden/>
    <w:unhideWhenUsed/>
    <w:qFormat/>
    <w:uiPriority w:val="0"/>
    <w:tblPr>
      <w:tblLayout w:type="fixed"/>
      <w:tblCellMar>
        <w:top w:w="0" w:type="dxa"/>
        <w:left w:w="0" w:type="dxa"/>
        <w:bottom w:w="0" w:type="dxa"/>
        <w:right w:w="0" w:type="dxa"/>
      </w:tblCellMar>
    </w:tblPr>
  </w:style>
  <w:style w:type="paragraph" w:customStyle="1" w:styleId="30">
    <w:name w:val="Normal_0"/>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4148</Words>
  <Characters>9144</Characters>
  <Lines>54</Lines>
  <Paragraphs>15</Paragraphs>
  <TotalTime>2</TotalTime>
  <ScaleCrop>false</ScaleCrop>
  <LinksUpToDate>false</LinksUpToDate>
  <CharactersWithSpaces>9182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2022-01-25T01:58:00Z</dcterms:created>
  <dc:creator>caizhengui</dc:creator>
  <cp:lastModifiedBy>lenovo</cp:lastModifiedBy>
  <dcterms:modified xsi:type="dcterms:W3CDTF">2025-06-04T09:08:24Z</dcterms:modified>
  <cp:revision>2821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F13E57C1C5A64E889F97AFD1163AA31F_13</vt:lpwstr>
  </property>
  <property fmtid="{D5CDD505-2E9C-101B-9397-08002B2CF9AE}" pid="3" name="KSOProductBuildVer">
    <vt:lpwstr>2052-11.1.0.8527</vt:lpwstr>
  </property>
  <property fmtid="{D5CDD505-2E9C-101B-9397-08002B2CF9AE}" pid="4" name="KSOTemplateDocerSaveRecord">
    <vt:lpwstr>eyJoZGlkIjoiNTM4YzMzYWIwMjk2ZmJmM2I3MTk5MjhmNzc0YzY4ZmYiLCJ1c2VySWQiOiI3NzA1NTgwNTQifQ==</vt:lpwstr>
  </property>
</Properties>
</file>