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10AE6DF7">
      <w:pPr>
        <w:widowControl/>
        <w:jc w:val="center"/>
        <w:rPr>
          <w:sz w:val="32"/>
          <w:szCs w:val="32"/>
          <w:highlight w:val="none"/>
        </w:rPr>
      </w:pPr>
    </w:p>
    <w:p w14:paraId="3E466969">
      <w:pPr>
        <w:widowControl/>
        <w:jc w:val="both"/>
        <w:rPr>
          <w:sz w:val="84"/>
          <w:szCs w:val="84"/>
          <w:highlight w:val="none"/>
        </w:rPr>
      </w:pPr>
    </w:p>
    <w:p w14:paraId="14E47F14">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lang w:val="en-US" w:eastAsia="zh-CN"/>
        </w:rPr>
        <w:t>2024</w:t>
      </w:r>
      <w:r>
        <w:rPr>
          <w:rFonts w:hint="eastAsia" w:ascii="方正小标宋简体" w:eastAsia="方正小标宋简体"/>
          <w:b/>
          <w:bCs/>
          <w:sz w:val="84"/>
          <w:szCs w:val="84"/>
          <w:highlight w:val="none"/>
        </w:rPr>
        <w:t>年度</w:t>
      </w:r>
    </w:p>
    <w:p w14:paraId="2612820C">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rPr>
        <w:t>莆田市荔城区镇海街道办事处本级</w:t>
      </w:r>
    </w:p>
    <w:p w14:paraId="25C05BAC">
      <w:pPr>
        <w:widowControl/>
        <w:jc w:val="center"/>
        <w:rPr>
          <w:rFonts w:hint="eastAsia" w:ascii="方正小标宋简体" w:eastAsia="方正小标宋简体"/>
          <w:b/>
          <w:bCs/>
          <w:sz w:val="84"/>
          <w:szCs w:val="84"/>
          <w:highlight w:val="none"/>
          <w:lang w:val="en-US" w:eastAsia="zh-CN"/>
        </w:rPr>
        <w:sectPr>
          <w:footerReference r:id="rId3" w:type="default"/>
          <w:pgSz w:w="11906" w:h="16838"/>
          <w:pgMar w:top="1440" w:right="1083" w:bottom="1440" w:left="1083" w:header="0" w:footer="720" w:gutter="0"/>
          <w:pgBorders>
            <w:top w:val="none" w:sz="0" w:space="0"/>
            <w:left w:val="none" w:sz="0" w:space="0"/>
            <w:bottom w:val="none" w:sz="0" w:space="0"/>
            <w:right w:val="none" w:sz="0" w:space="0"/>
          </w:pgBorders>
          <w:pgNumType w:fmt="decimal"/>
          <w:cols w:space="0" w:num="1"/>
          <w:titlePg/>
          <w:rtlGutter w:val="0"/>
          <w:docGrid w:type="lines" w:linePitch="317" w:charSpace="0"/>
        </w:sectPr>
      </w:pPr>
      <w:r>
        <w:rPr>
          <w:rFonts w:hint="eastAsia" w:ascii="方正小标宋简体" w:eastAsia="方正小标宋简体"/>
          <w:b/>
          <w:bCs/>
          <w:sz w:val="84"/>
          <w:szCs w:val="84"/>
          <w:highlight w:val="none"/>
          <w:lang w:val="en-US" w:eastAsia="zh-CN"/>
        </w:rPr>
        <w:t>单位</w:t>
      </w:r>
      <w:r>
        <w:rPr>
          <w:rFonts w:hint="eastAsia" w:ascii="方正小标宋简体" w:eastAsia="方正小标宋简体"/>
          <w:b/>
          <w:bCs/>
          <w:sz w:val="84"/>
          <w:szCs w:val="84"/>
          <w:highlight w:val="none"/>
        </w:rPr>
        <w:t>决算</w:t>
      </w:r>
    </w:p>
    <w:sdt>
      <w:sdtPr>
        <w:rPr>
          <w:rFonts w:hint="eastAsia" w:ascii="仿宋" w:hAnsi="仿宋" w:eastAsia="仿宋" w:cs="仿宋"/>
          <w:b/>
          <w:bCs/>
          <w:kern w:val="0"/>
          <w:sz w:val="32"/>
          <w:szCs w:val="32"/>
          <w:lang w:val="en-US" w:eastAsia="zh-CN"/>
        </w:rPr>
        <w:id w:val="147456983"/>
        <w15:color w:val="DBDBDB"/>
        <w:docPartObj>
          <w:docPartGallery w:val="Table of Contents"/>
          <w:docPartUnique/>
        </w:docPartObj>
      </w:sdtPr>
      <w:sdtEndPr>
        <w:rPr>
          <w:rFonts w:hint="eastAsia" w:ascii="宋体" w:hAnsi="宋体" w:eastAsia="宋体" w:cs="Times New Roman"/>
          <w:b/>
          <w:bCs/>
          <w:kern w:val="2"/>
          <w:sz w:val="32"/>
          <w:szCs w:val="32"/>
          <w:lang w:val="en-US" w:eastAsia="zh-CN" w:bidi="ar-SA"/>
        </w:rPr>
      </w:sdtEndPr>
      <w:sdtContent>
        <w:p w14:paraId="54EB9CAB">
          <w:pPr>
            <w:widowControl/>
            <w:spacing w:before="0" w:beforeLines="0" w:after="0" w:afterLines="0" w:line="240" w:lineRule="auto"/>
            <w:ind w:left="0" w:leftChars="0" w:right="0" w:rightChars="0" w:firstLine="0" w:firstLineChars="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目</w:t>
          </w:r>
          <w:r>
            <w:rPr>
              <w:rFonts w:hint="eastAsia" w:ascii="仿宋" w:hAnsi="仿宋" w:eastAsia="仿宋" w:cs="仿宋"/>
              <w:b/>
              <w:bCs/>
              <w:kern w:val="0"/>
              <w:sz w:val="32"/>
              <w:szCs w:val="32"/>
              <w:lang w:val="en-US" w:eastAsia="zh-CN"/>
            </w:rPr>
            <w:t xml:space="preserve"> </w:t>
          </w:r>
          <w:r>
            <w:rPr>
              <w:rFonts w:hint="eastAsia" w:ascii="仿宋" w:hAnsi="仿宋" w:eastAsia="仿宋" w:cs="仿宋"/>
              <w:b/>
              <w:bCs/>
              <w:kern w:val="0"/>
              <w:sz w:val="32"/>
              <w:szCs w:val="32"/>
            </w:rPr>
            <w:t>录</w:t>
          </w:r>
        </w:p>
        <w:p w14:paraId="09DF2D30">
          <w:pPr>
            <w:pStyle w:val="17"/>
            <w:tabs>
              <w:tab w:val="right" w:leader="dot" w:pos="9730"/>
            </w:tabs>
            <w:rPr>
              <w:rFonts w:asciiTheme="minorHAnsi" w:hAnsiTheme="minorHAnsi"/>
              <w:sz w:val="22"/>
            </w:rPr>
          </w:pPr>
          <w:r>
            <w:rPr>
              <w:rFonts w:hint="eastAsia" w:ascii="仿宋" w:hAnsi="仿宋" w:eastAsia="仿宋" w:cs="仿宋"/>
              <w:b w:val="0"/>
              <w:bCs/>
              <w:kern w:val="2"/>
              <w:sz w:val="32"/>
              <w:szCs w:val="32"/>
              <w:lang w:val="en-US" w:eastAsia="zh-CN" w:bidi="ar-SA"/>
            </w:rPr>
            <w:fldChar w:fldCharType="begin"/>
          </w:r>
          <w:r>
            <w:rPr>
              <w:rFonts w:hint="eastAsia" w:ascii="仿宋" w:hAnsi="仿宋" w:eastAsia="仿宋" w:cs="仿宋"/>
              <w:b w:val="0"/>
              <w:bCs/>
              <w:kern w:val="2"/>
              <w:sz w:val="32"/>
              <w:szCs w:val="32"/>
              <w:lang w:val="en-US" w:eastAsia="zh-CN" w:bidi="ar-SA"/>
            </w:rPr>
            <w:instrText xml:space="preserve">TOC \o "1-3" \h \u </w:instrText>
          </w:r>
          <w:r>
            <w:rPr>
              <w:rFonts w:hint="eastAsia" w:ascii="仿宋" w:hAnsi="仿宋" w:eastAsia="仿宋" w:cs="仿宋"/>
              <w:b w:val="0"/>
              <w:bCs/>
              <w:kern w:val="2"/>
              <w:sz w:val="32"/>
              <w:szCs w:val="32"/>
              <w:lang w:val="en-US" w:eastAsia="zh-CN" w:bidi="ar-SA"/>
            </w:rPr>
            <w:fldChar w:fldCharType="separate"/>
          </w:r>
          <w:r>
            <w:fldChar w:fldCharType="begin"/>
          </w:r>
          <w:r>
            <w:instrText xml:space="preserve"> HYPERLINK \l "_Toc256000132" </w:instrText>
          </w:r>
          <w:r>
            <w:fldChar w:fldCharType="separate"/>
          </w:r>
          <w:r>
            <w:rPr>
              <w:rStyle w:val="22"/>
              <w:rFonts w:ascii="仿宋" w:hAnsi="仿宋" w:eastAsia="仿宋" w:cs="仿宋"/>
            </w:rPr>
            <w:t>第一部分</w:t>
          </w:r>
          <w:r>
            <w:rPr>
              <w:rStyle w:val="22"/>
              <w:rFonts w:ascii="黑体" w:hAnsi="黑体" w:eastAsia="黑体" w:cs="黑体"/>
            </w:rPr>
            <w:t xml:space="preserve"> </w:t>
          </w:r>
          <w:r>
            <w:rPr>
              <w:rStyle w:val="22"/>
              <w:rFonts w:ascii="仿宋" w:hAnsi="仿宋" w:eastAsia="仿宋" w:cs="仿宋"/>
            </w:rPr>
            <w:t>单位概况</w:t>
          </w:r>
          <w:r>
            <w:tab/>
          </w:r>
          <w:r>
            <w:fldChar w:fldCharType="begin"/>
          </w:r>
          <w:r>
            <w:instrText xml:space="preserve"> PAGEREF _Toc256000132 \h </w:instrText>
          </w:r>
          <w:r>
            <w:fldChar w:fldCharType="separate"/>
          </w:r>
          <w:r>
            <w:t>1</w:t>
          </w:r>
          <w:r>
            <w:fldChar w:fldCharType="end"/>
          </w:r>
          <w:r>
            <w:fldChar w:fldCharType="end"/>
          </w:r>
        </w:p>
        <w:p w14:paraId="3CD4478A">
          <w:pPr>
            <w:pStyle w:val="10"/>
            <w:tabs>
              <w:tab w:val="right" w:leader="dot" w:pos="9730"/>
            </w:tabs>
            <w:rPr>
              <w:rFonts w:asciiTheme="minorHAnsi" w:hAnsiTheme="minorHAnsi"/>
              <w:sz w:val="22"/>
            </w:rPr>
          </w:pPr>
          <w:r>
            <w:fldChar w:fldCharType="begin"/>
          </w:r>
          <w:r>
            <w:instrText xml:space="preserve"> HYPERLINK \l "_Toc256000133" </w:instrText>
          </w:r>
          <w:r>
            <w:fldChar w:fldCharType="separate"/>
          </w:r>
          <w:r>
            <w:rPr>
              <w:rStyle w:val="22"/>
              <w:rFonts w:ascii="仿宋" w:hAnsi="仿宋" w:eastAsia="仿宋" w:cs="仿宋"/>
            </w:rPr>
            <w:t>一、单位主要职责</w:t>
          </w:r>
          <w:r>
            <w:tab/>
          </w:r>
          <w:r>
            <w:fldChar w:fldCharType="begin"/>
          </w:r>
          <w:r>
            <w:instrText xml:space="preserve"> PAGEREF _Toc256000133 \h </w:instrText>
          </w:r>
          <w:r>
            <w:fldChar w:fldCharType="separate"/>
          </w:r>
          <w:r>
            <w:t>2</w:t>
          </w:r>
          <w:r>
            <w:fldChar w:fldCharType="end"/>
          </w:r>
          <w:r>
            <w:fldChar w:fldCharType="end"/>
          </w:r>
        </w:p>
        <w:p w14:paraId="1B2B65FB">
          <w:pPr>
            <w:pStyle w:val="10"/>
            <w:tabs>
              <w:tab w:val="right" w:leader="dot" w:pos="9730"/>
            </w:tabs>
            <w:rPr>
              <w:rFonts w:asciiTheme="minorHAnsi" w:hAnsiTheme="minorHAnsi"/>
              <w:sz w:val="22"/>
            </w:rPr>
          </w:pPr>
          <w:r>
            <w:fldChar w:fldCharType="begin"/>
          </w:r>
          <w:r>
            <w:instrText xml:space="preserve"> HYPERLINK \l "_Toc256000134" </w:instrText>
          </w:r>
          <w:r>
            <w:fldChar w:fldCharType="separate"/>
          </w:r>
          <w:r>
            <w:rPr>
              <w:rStyle w:val="22"/>
              <w:rFonts w:ascii="仿宋" w:hAnsi="仿宋" w:eastAsia="仿宋" w:cs="仿宋"/>
            </w:rPr>
            <w:t>二、单位基本情况</w:t>
          </w:r>
          <w:r>
            <w:tab/>
          </w:r>
          <w:r>
            <w:fldChar w:fldCharType="begin"/>
          </w:r>
          <w:r>
            <w:instrText xml:space="preserve"> PAGEREF _Toc256000134 \h </w:instrText>
          </w:r>
          <w:r>
            <w:fldChar w:fldCharType="separate"/>
          </w:r>
          <w:r>
            <w:t>2</w:t>
          </w:r>
          <w:r>
            <w:fldChar w:fldCharType="end"/>
          </w:r>
          <w:r>
            <w:fldChar w:fldCharType="end"/>
          </w:r>
        </w:p>
        <w:p w14:paraId="4B79ADC7">
          <w:pPr>
            <w:pStyle w:val="10"/>
            <w:tabs>
              <w:tab w:val="right" w:leader="dot" w:pos="9730"/>
            </w:tabs>
            <w:rPr>
              <w:rFonts w:asciiTheme="minorHAnsi" w:hAnsiTheme="minorHAnsi"/>
              <w:sz w:val="22"/>
            </w:rPr>
          </w:pPr>
          <w:r>
            <w:fldChar w:fldCharType="begin"/>
          </w:r>
          <w:r>
            <w:instrText xml:space="preserve"> HYPERLINK \l "_Toc256000135" </w:instrText>
          </w:r>
          <w:r>
            <w:fldChar w:fldCharType="separate"/>
          </w:r>
          <w:r>
            <w:rPr>
              <w:rStyle w:val="22"/>
              <w:rFonts w:ascii="仿宋" w:hAnsi="仿宋" w:eastAsia="仿宋" w:cs="仿宋"/>
            </w:rPr>
            <w:t>三、单位主要工作总结</w:t>
          </w:r>
          <w:r>
            <w:tab/>
          </w:r>
          <w:r>
            <w:fldChar w:fldCharType="begin"/>
          </w:r>
          <w:r>
            <w:instrText xml:space="preserve"> PAGEREF _Toc256000135 \h </w:instrText>
          </w:r>
          <w:r>
            <w:fldChar w:fldCharType="separate"/>
          </w:r>
          <w:r>
            <w:t>3</w:t>
          </w:r>
          <w:r>
            <w:fldChar w:fldCharType="end"/>
          </w:r>
          <w:r>
            <w:fldChar w:fldCharType="end"/>
          </w:r>
        </w:p>
        <w:p w14:paraId="51BC4777">
          <w:pPr>
            <w:pStyle w:val="17"/>
            <w:tabs>
              <w:tab w:val="right" w:leader="dot" w:pos="9730"/>
            </w:tabs>
            <w:rPr>
              <w:rFonts w:asciiTheme="minorHAnsi" w:hAnsiTheme="minorHAnsi"/>
              <w:sz w:val="22"/>
            </w:rPr>
          </w:pPr>
          <w:r>
            <w:fldChar w:fldCharType="begin"/>
          </w:r>
          <w:r>
            <w:instrText xml:space="preserve"> HYPERLINK \l "_Toc256000136" </w:instrText>
          </w:r>
          <w:r>
            <w:fldChar w:fldCharType="separate"/>
          </w:r>
          <w:r>
            <w:rPr>
              <w:rStyle w:val="22"/>
              <w:rFonts w:ascii="仿宋" w:hAnsi="仿宋" w:eastAsia="仿宋" w:cs="仿宋"/>
            </w:rPr>
            <w:t>第二部分</w:t>
          </w:r>
          <w:r>
            <w:rPr>
              <w:rStyle w:val="22"/>
              <w:rFonts w:ascii="黑体" w:hAnsi="黑体" w:eastAsia="黑体" w:cs="黑体"/>
            </w:rPr>
            <w:t xml:space="preserve"> </w:t>
          </w:r>
          <w:r>
            <w:rPr>
              <w:rStyle w:val="22"/>
              <w:rFonts w:ascii="仿宋" w:hAnsi="仿宋" w:eastAsia="仿宋" w:cs="仿宋"/>
            </w:rPr>
            <w:t>2024年度单位决算表</w:t>
          </w:r>
          <w:r>
            <w:tab/>
          </w:r>
          <w:r>
            <w:fldChar w:fldCharType="begin"/>
          </w:r>
          <w:r>
            <w:instrText xml:space="preserve"> PAGEREF _Toc256000136 \h </w:instrText>
          </w:r>
          <w:r>
            <w:fldChar w:fldCharType="separate"/>
          </w:r>
          <w:r>
            <w:t>8</w:t>
          </w:r>
          <w:r>
            <w:fldChar w:fldCharType="end"/>
          </w:r>
          <w:r>
            <w:fldChar w:fldCharType="end"/>
          </w:r>
        </w:p>
        <w:p w14:paraId="069889BD">
          <w:pPr>
            <w:pStyle w:val="10"/>
            <w:tabs>
              <w:tab w:val="right" w:leader="dot" w:pos="9730"/>
            </w:tabs>
            <w:rPr>
              <w:rFonts w:asciiTheme="minorHAnsi" w:hAnsiTheme="minorHAnsi"/>
              <w:sz w:val="22"/>
            </w:rPr>
          </w:pPr>
          <w:r>
            <w:fldChar w:fldCharType="begin"/>
          </w:r>
          <w:r>
            <w:instrText xml:space="preserve"> HYPERLINK \l "_Toc256000137" </w:instrText>
          </w:r>
          <w:r>
            <w:fldChar w:fldCharType="separate"/>
          </w:r>
          <w:r>
            <w:rPr>
              <w:rStyle w:val="22"/>
              <w:rFonts w:ascii="仿宋" w:hAnsi="仿宋" w:eastAsia="仿宋" w:cs="仿宋"/>
            </w:rPr>
            <w:t>一、收入支出决算总表</w:t>
          </w:r>
          <w:r>
            <w:tab/>
          </w:r>
          <w:r>
            <w:fldChar w:fldCharType="begin"/>
          </w:r>
          <w:r>
            <w:instrText xml:space="preserve"> PAGEREF _Toc256000137 \h </w:instrText>
          </w:r>
          <w:r>
            <w:fldChar w:fldCharType="separate"/>
          </w:r>
          <w:r>
            <w:t>9</w:t>
          </w:r>
          <w:r>
            <w:fldChar w:fldCharType="end"/>
          </w:r>
          <w:r>
            <w:fldChar w:fldCharType="end"/>
          </w:r>
        </w:p>
        <w:p w14:paraId="4A963812">
          <w:pPr>
            <w:pStyle w:val="10"/>
            <w:tabs>
              <w:tab w:val="right" w:leader="dot" w:pos="9730"/>
            </w:tabs>
            <w:rPr>
              <w:rFonts w:asciiTheme="minorHAnsi" w:hAnsiTheme="minorHAnsi"/>
              <w:sz w:val="22"/>
            </w:rPr>
          </w:pPr>
          <w:r>
            <w:fldChar w:fldCharType="begin"/>
          </w:r>
          <w:r>
            <w:instrText xml:space="preserve"> HYPERLINK \l "_Toc256000138" </w:instrText>
          </w:r>
          <w:r>
            <w:fldChar w:fldCharType="separate"/>
          </w:r>
          <w:r>
            <w:rPr>
              <w:rStyle w:val="22"/>
              <w:rFonts w:ascii="仿宋" w:hAnsi="仿宋" w:eastAsia="仿宋" w:cs="仿宋"/>
            </w:rPr>
            <w:t>二、收入决算表</w:t>
          </w:r>
          <w:r>
            <w:tab/>
          </w:r>
          <w:r>
            <w:fldChar w:fldCharType="begin"/>
          </w:r>
          <w:r>
            <w:instrText xml:space="preserve"> PAGEREF _Toc256000138 \h </w:instrText>
          </w:r>
          <w:r>
            <w:fldChar w:fldCharType="separate"/>
          </w:r>
          <w:r>
            <w:t>11</w:t>
          </w:r>
          <w:r>
            <w:fldChar w:fldCharType="end"/>
          </w:r>
          <w:r>
            <w:fldChar w:fldCharType="end"/>
          </w:r>
        </w:p>
        <w:p w14:paraId="1441C9E2">
          <w:pPr>
            <w:pStyle w:val="10"/>
            <w:tabs>
              <w:tab w:val="right" w:leader="dot" w:pos="9730"/>
            </w:tabs>
            <w:rPr>
              <w:rFonts w:asciiTheme="minorHAnsi" w:hAnsiTheme="minorHAnsi"/>
              <w:sz w:val="22"/>
            </w:rPr>
          </w:pPr>
          <w:r>
            <w:fldChar w:fldCharType="begin"/>
          </w:r>
          <w:r>
            <w:instrText xml:space="preserve"> HYPERLINK \l "_Toc256000139" </w:instrText>
          </w:r>
          <w:r>
            <w:fldChar w:fldCharType="separate"/>
          </w:r>
          <w:r>
            <w:rPr>
              <w:rStyle w:val="22"/>
              <w:rFonts w:ascii="仿宋" w:hAnsi="仿宋" w:eastAsia="仿宋" w:cs="仿宋"/>
            </w:rPr>
            <w:t>三、支出决算表</w:t>
          </w:r>
          <w:r>
            <w:tab/>
          </w:r>
          <w:r>
            <w:fldChar w:fldCharType="begin"/>
          </w:r>
          <w:r>
            <w:instrText xml:space="preserve"> PAGEREF _Toc256000139 \h </w:instrText>
          </w:r>
          <w:r>
            <w:fldChar w:fldCharType="separate"/>
          </w:r>
          <w:r>
            <w:t>16</w:t>
          </w:r>
          <w:r>
            <w:fldChar w:fldCharType="end"/>
          </w:r>
          <w:r>
            <w:fldChar w:fldCharType="end"/>
          </w:r>
        </w:p>
        <w:p w14:paraId="1261A1E8">
          <w:pPr>
            <w:pStyle w:val="10"/>
            <w:tabs>
              <w:tab w:val="right" w:leader="dot" w:pos="9730"/>
            </w:tabs>
            <w:rPr>
              <w:rFonts w:asciiTheme="minorHAnsi" w:hAnsiTheme="minorHAnsi"/>
              <w:sz w:val="22"/>
            </w:rPr>
          </w:pPr>
          <w:r>
            <w:fldChar w:fldCharType="begin"/>
          </w:r>
          <w:r>
            <w:instrText xml:space="preserve"> HYPERLINK \l "_Toc256000140" </w:instrText>
          </w:r>
          <w:r>
            <w:fldChar w:fldCharType="separate"/>
          </w:r>
          <w:r>
            <w:rPr>
              <w:rStyle w:val="22"/>
              <w:rFonts w:ascii="仿宋" w:hAnsi="仿宋" w:eastAsia="仿宋" w:cs="仿宋"/>
            </w:rPr>
            <w:t>四、财政拨款收入支出决算总表</w:t>
          </w:r>
          <w:r>
            <w:tab/>
          </w:r>
          <w:r>
            <w:fldChar w:fldCharType="begin"/>
          </w:r>
          <w:r>
            <w:instrText xml:space="preserve"> PAGEREF _Toc256000140 \h </w:instrText>
          </w:r>
          <w:r>
            <w:fldChar w:fldCharType="separate"/>
          </w:r>
          <w:r>
            <w:t>19</w:t>
          </w:r>
          <w:r>
            <w:fldChar w:fldCharType="end"/>
          </w:r>
          <w:r>
            <w:fldChar w:fldCharType="end"/>
          </w:r>
        </w:p>
        <w:p w14:paraId="02B3A8C9">
          <w:pPr>
            <w:pStyle w:val="10"/>
            <w:tabs>
              <w:tab w:val="right" w:leader="dot" w:pos="9730"/>
            </w:tabs>
            <w:rPr>
              <w:rFonts w:asciiTheme="minorHAnsi" w:hAnsiTheme="minorHAnsi"/>
              <w:sz w:val="22"/>
            </w:rPr>
          </w:pPr>
          <w:r>
            <w:fldChar w:fldCharType="begin"/>
          </w:r>
          <w:r>
            <w:instrText xml:space="preserve"> HYPERLINK \l "_Toc256000141" </w:instrText>
          </w:r>
          <w:r>
            <w:fldChar w:fldCharType="separate"/>
          </w:r>
          <w:r>
            <w:rPr>
              <w:rStyle w:val="22"/>
              <w:rFonts w:ascii="仿宋" w:hAnsi="仿宋" w:eastAsia="仿宋" w:cs="仿宋"/>
            </w:rPr>
            <w:t>五、一般公共预算财政拨款支出决算表</w:t>
          </w:r>
          <w:r>
            <w:tab/>
          </w:r>
          <w:r>
            <w:fldChar w:fldCharType="begin"/>
          </w:r>
          <w:r>
            <w:instrText xml:space="preserve"> PAGEREF _Toc256000141 \h </w:instrText>
          </w:r>
          <w:r>
            <w:fldChar w:fldCharType="separate"/>
          </w:r>
          <w:r>
            <w:t>22</w:t>
          </w:r>
          <w:r>
            <w:fldChar w:fldCharType="end"/>
          </w:r>
          <w:r>
            <w:fldChar w:fldCharType="end"/>
          </w:r>
        </w:p>
        <w:p w14:paraId="7BDB9087">
          <w:pPr>
            <w:pStyle w:val="10"/>
            <w:tabs>
              <w:tab w:val="right" w:leader="dot" w:pos="9730"/>
            </w:tabs>
            <w:rPr>
              <w:rFonts w:asciiTheme="minorHAnsi" w:hAnsiTheme="minorHAnsi"/>
              <w:sz w:val="22"/>
            </w:rPr>
          </w:pPr>
          <w:r>
            <w:fldChar w:fldCharType="begin"/>
          </w:r>
          <w:r>
            <w:instrText xml:space="preserve"> HYPERLINK \l "_Toc256000142" </w:instrText>
          </w:r>
          <w:r>
            <w:fldChar w:fldCharType="separate"/>
          </w:r>
          <w:r>
            <w:rPr>
              <w:rStyle w:val="22"/>
              <w:rFonts w:ascii="仿宋" w:hAnsi="仿宋" w:eastAsia="仿宋" w:cs="仿宋"/>
            </w:rPr>
            <w:t>六、一般公共预算财政拨款基本支出决算表</w:t>
          </w:r>
          <w:r>
            <w:tab/>
          </w:r>
          <w:r>
            <w:fldChar w:fldCharType="begin"/>
          </w:r>
          <w:r>
            <w:instrText xml:space="preserve"> PAGEREF _Toc256000142 \h </w:instrText>
          </w:r>
          <w:r>
            <w:fldChar w:fldCharType="separate"/>
          </w:r>
          <w:r>
            <w:t>25</w:t>
          </w:r>
          <w:r>
            <w:fldChar w:fldCharType="end"/>
          </w:r>
          <w:r>
            <w:fldChar w:fldCharType="end"/>
          </w:r>
        </w:p>
        <w:p w14:paraId="2BBDB730">
          <w:pPr>
            <w:pStyle w:val="10"/>
            <w:tabs>
              <w:tab w:val="right" w:leader="dot" w:pos="9730"/>
            </w:tabs>
            <w:rPr>
              <w:rFonts w:asciiTheme="minorHAnsi" w:hAnsiTheme="minorHAnsi"/>
              <w:sz w:val="22"/>
            </w:rPr>
          </w:pPr>
          <w:r>
            <w:fldChar w:fldCharType="begin"/>
          </w:r>
          <w:r>
            <w:instrText xml:space="preserve"> HYPERLINK \l "_Toc256000144" </w:instrText>
          </w:r>
          <w:r>
            <w:fldChar w:fldCharType="separate"/>
          </w:r>
          <w:r>
            <w:rPr>
              <w:rStyle w:val="22"/>
              <w:rFonts w:ascii="仿宋" w:hAnsi="仿宋" w:eastAsia="仿宋" w:cs="仿宋"/>
            </w:rPr>
            <w:t>七、一般公共预算财政拨款“三公”经费支出决算表</w:t>
          </w:r>
          <w:r>
            <w:tab/>
          </w:r>
          <w:r>
            <w:fldChar w:fldCharType="begin"/>
          </w:r>
          <w:r>
            <w:instrText xml:space="preserve"> PAGEREF _Toc256000144 \h </w:instrText>
          </w:r>
          <w:r>
            <w:fldChar w:fldCharType="separate"/>
          </w:r>
          <w:r>
            <w:t>28</w:t>
          </w:r>
          <w:r>
            <w:fldChar w:fldCharType="end"/>
          </w:r>
          <w:r>
            <w:fldChar w:fldCharType="end"/>
          </w:r>
        </w:p>
        <w:p w14:paraId="649BA963">
          <w:pPr>
            <w:pStyle w:val="10"/>
            <w:tabs>
              <w:tab w:val="right" w:leader="dot" w:pos="9730"/>
            </w:tabs>
            <w:rPr>
              <w:rFonts w:asciiTheme="minorHAnsi" w:hAnsiTheme="minorHAnsi"/>
              <w:sz w:val="22"/>
            </w:rPr>
          </w:pPr>
          <w:r>
            <w:fldChar w:fldCharType="begin"/>
          </w:r>
          <w:r>
            <w:instrText xml:space="preserve"> HYPERLINK \l "_Toc256000145" </w:instrText>
          </w:r>
          <w:r>
            <w:fldChar w:fldCharType="separate"/>
          </w:r>
          <w:r>
            <w:rPr>
              <w:rStyle w:val="22"/>
              <w:rFonts w:ascii="仿宋" w:hAnsi="仿宋" w:eastAsia="仿宋" w:cs="仿宋"/>
            </w:rPr>
            <w:t>八、政府性基金预算财政拨款收入支出决算表</w:t>
          </w:r>
          <w:r>
            <w:tab/>
          </w:r>
          <w:r>
            <w:fldChar w:fldCharType="begin"/>
          </w:r>
          <w:r>
            <w:instrText xml:space="preserve"> PAGEREF _Toc256000145 \h </w:instrText>
          </w:r>
          <w:r>
            <w:fldChar w:fldCharType="separate"/>
          </w:r>
          <w:r>
            <w:t>29</w:t>
          </w:r>
          <w:r>
            <w:fldChar w:fldCharType="end"/>
          </w:r>
          <w:r>
            <w:fldChar w:fldCharType="end"/>
          </w:r>
        </w:p>
        <w:p w14:paraId="656280E1">
          <w:pPr>
            <w:pStyle w:val="10"/>
            <w:tabs>
              <w:tab w:val="right" w:leader="dot" w:pos="9730"/>
            </w:tabs>
            <w:rPr>
              <w:rFonts w:asciiTheme="minorHAnsi" w:hAnsiTheme="minorHAnsi"/>
              <w:sz w:val="22"/>
            </w:rPr>
          </w:pPr>
          <w:r>
            <w:fldChar w:fldCharType="begin"/>
          </w:r>
          <w:r>
            <w:instrText xml:space="preserve"> HYPERLINK \l "_Toc256000146" </w:instrText>
          </w:r>
          <w:r>
            <w:fldChar w:fldCharType="separate"/>
          </w:r>
          <w:r>
            <w:rPr>
              <w:rStyle w:val="22"/>
              <w:rFonts w:ascii="仿宋" w:hAnsi="仿宋" w:eastAsia="仿宋" w:cs="仿宋"/>
            </w:rPr>
            <w:t>九、国有资本经营预算财政拨款支出决算表</w:t>
          </w:r>
          <w:r>
            <w:tab/>
          </w:r>
          <w:r>
            <w:fldChar w:fldCharType="begin"/>
          </w:r>
          <w:r>
            <w:instrText xml:space="preserve"> PAGEREF _Toc256000146 \h </w:instrText>
          </w:r>
          <w:r>
            <w:fldChar w:fldCharType="separate"/>
          </w:r>
          <w:r>
            <w:t>30</w:t>
          </w:r>
          <w:r>
            <w:fldChar w:fldCharType="end"/>
          </w:r>
          <w:r>
            <w:fldChar w:fldCharType="end"/>
          </w:r>
        </w:p>
        <w:p w14:paraId="6B2425A7">
          <w:pPr>
            <w:pStyle w:val="17"/>
            <w:tabs>
              <w:tab w:val="right" w:leader="dot" w:pos="9730"/>
            </w:tabs>
            <w:rPr>
              <w:rFonts w:asciiTheme="minorHAnsi" w:hAnsiTheme="minorHAnsi"/>
              <w:sz w:val="22"/>
            </w:rPr>
          </w:pPr>
          <w:r>
            <w:fldChar w:fldCharType="begin"/>
          </w:r>
          <w:r>
            <w:instrText xml:space="preserve"> HYPERLINK \l "_Toc256000147" </w:instrText>
          </w:r>
          <w:r>
            <w:fldChar w:fldCharType="separate"/>
          </w:r>
          <w:r>
            <w:rPr>
              <w:rStyle w:val="22"/>
              <w:rFonts w:ascii="仿宋" w:hAnsi="仿宋" w:eastAsia="仿宋" w:cs="仿宋"/>
            </w:rPr>
            <w:t>第三部分</w:t>
          </w:r>
          <w:r>
            <w:rPr>
              <w:rStyle w:val="22"/>
              <w:rFonts w:ascii="黑体" w:hAnsi="黑体" w:eastAsia="黑体" w:cs="黑体"/>
            </w:rPr>
            <w:t xml:space="preserve"> </w:t>
          </w:r>
          <w:r>
            <w:rPr>
              <w:rStyle w:val="22"/>
              <w:rFonts w:ascii="仿宋" w:hAnsi="仿宋" w:eastAsia="仿宋" w:cs="仿宋"/>
            </w:rPr>
            <w:t>2024年度单位决算情况说明</w:t>
          </w:r>
          <w:r>
            <w:tab/>
          </w:r>
          <w:r>
            <w:fldChar w:fldCharType="begin"/>
          </w:r>
          <w:r>
            <w:instrText xml:space="preserve"> PAGEREF _Toc256000147 \h </w:instrText>
          </w:r>
          <w:r>
            <w:fldChar w:fldCharType="separate"/>
          </w:r>
          <w:r>
            <w:t>31</w:t>
          </w:r>
          <w:r>
            <w:fldChar w:fldCharType="end"/>
          </w:r>
          <w:r>
            <w:fldChar w:fldCharType="end"/>
          </w:r>
        </w:p>
        <w:p w14:paraId="76A678F9">
          <w:pPr>
            <w:pStyle w:val="10"/>
            <w:tabs>
              <w:tab w:val="right" w:leader="dot" w:pos="9730"/>
            </w:tabs>
            <w:rPr>
              <w:rFonts w:asciiTheme="minorHAnsi" w:hAnsiTheme="minorHAnsi"/>
              <w:sz w:val="22"/>
            </w:rPr>
          </w:pPr>
          <w:r>
            <w:fldChar w:fldCharType="begin"/>
          </w:r>
          <w:r>
            <w:instrText xml:space="preserve"> HYPERLINK \l "_Toc256000148" </w:instrText>
          </w:r>
          <w:r>
            <w:fldChar w:fldCharType="separate"/>
          </w:r>
          <w:r>
            <w:rPr>
              <w:rStyle w:val="22"/>
              <w:rFonts w:ascii="仿宋" w:hAnsi="仿宋" w:eastAsia="仿宋" w:cs="仿宋"/>
            </w:rPr>
            <w:t>一、收入支出决算总体情况说明</w:t>
          </w:r>
          <w:r>
            <w:tab/>
          </w:r>
          <w:r>
            <w:fldChar w:fldCharType="begin"/>
          </w:r>
          <w:r>
            <w:instrText xml:space="preserve"> PAGEREF _Toc256000148 \h </w:instrText>
          </w:r>
          <w:r>
            <w:fldChar w:fldCharType="separate"/>
          </w:r>
          <w:r>
            <w:t>32</w:t>
          </w:r>
          <w:r>
            <w:fldChar w:fldCharType="end"/>
          </w:r>
          <w:r>
            <w:fldChar w:fldCharType="end"/>
          </w:r>
        </w:p>
        <w:p w14:paraId="2D2D24F0">
          <w:pPr>
            <w:pStyle w:val="10"/>
            <w:tabs>
              <w:tab w:val="right" w:leader="dot" w:pos="9730"/>
            </w:tabs>
            <w:rPr>
              <w:rFonts w:asciiTheme="minorHAnsi" w:hAnsiTheme="minorHAnsi"/>
              <w:sz w:val="22"/>
            </w:rPr>
          </w:pPr>
          <w:r>
            <w:fldChar w:fldCharType="begin"/>
          </w:r>
          <w:r>
            <w:instrText xml:space="preserve"> HYPERLINK \l "_Toc256000149" </w:instrText>
          </w:r>
          <w:r>
            <w:fldChar w:fldCharType="separate"/>
          </w:r>
          <w:r>
            <w:rPr>
              <w:rStyle w:val="22"/>
              <w:rFonts w:ascii="仿宋" w:hAnsi="仿宋" w:eastAsia="仿宋" w:cs="仿宋"/>
            </w:rPr>
            <w:t>二、财政拨款收入支出决算总体情况说明</w:t>
          </w:r>
          <w:r>
            <w:tab/>
          </w:r>
          <w:r>
            <w:fldChar w:fldCharType="begin"/>
          </w:r>
          <w:r>
            <w:instrText xml:space="preserve"> PAGEREF _Toc256000149 \h </w:instrText>
          </w:r>
          <w:r>
            <w:fldChar w:fldCharType="separate"/>
          </w:r>
          <w:r>
            <w:t>33</w:t>
          </w:r>
          <w:r>
            <w:fldChar w:fldCharType="end"/>
          </w:r>
          <w:r>
            <w:fldChar w:fldCharType="end"/>
          </w:r>
        </w:p>
        <w:p w14:paraId="0097873B">
          <w:pPr>
            <w:pStyle w:val="10"/>
            <w:tabs>
              <w:tab w:val="right" w:leader="dot" w:pos="9730"/>
            </w:tabs>
            <w:rPr>
              <w:rFonts w:asciiTheme="minorHAnsi" w:hAnsiTheme="minorHAnsi"/>
              <w:sz w:val="22"/>
            </w:rPr>
          </w:pPr>
          <w:r>
            <w:fldChar w:fldCharType="begin"/>
          </w:r>
          <w:r>
            <w:instrText xml:space="preserve"> HYPERLINK \l "_Toc256000150" </w:instrText>
          </w:r>
          <w:r>
            <w:fldChar w:fldCharType="separate"/>
          </w:r>
          <w:r>
            <w:rPr>
              <w:rStyle w:val="22"/>
              <w:rFonts w:ascii="仿宋" w:hAnsi="仿宋" w:eastAsia="仿宋" w:cs="仿宋"/>
            </w:rPr>
            <w:t>三、一般公共预算财政拨款支出决算情况说明</w:t>
          </w:r>
          <w:r>
            <w:tab/>
          </w:r>
          <w:r>
            <w:fldChar w:fldCharType="begin"/>
          </w:r>
          <w:r>
            <w:instrText xml:space="preserve"> PAGEREF _Toc256000150 \h </w:instrText>
          </w:r>
          <w:r>
            <w:fldChar w:fldCharType="separate"/>
          </w:r>
          <w:r>
            <w:t>33</w:t>
          </w:r>
          <w:r>
            <w:fldChar w:fldCharType="end"/>
          </w:r>
          <w:r>
            <w:fldChar w:fldCharType="end"/>
          </w:r>
        </w:p>
        <w:p w14:paraId="2B0122BD">
          <w:pPr>
            <w:pStyle w:val="10"/>
            <w:tabs>
              <w:tab w:val="right" w:leader="dot" w:pos="9730"/>
            </w:tabs>
            <w:rPr>
              <w:rFonts w:asciiTheme="minorHAnsi" w:hAnsiTheme="minorHAnsi"/>
              <w:sz w:val="22"/>
            </w:rPr>
          </w:pPr>
          <w:r>
            <w:fldChar w:fldCharType="begin"/>
          </w:r>
          <w:r>
            <w:instrText xml:space="preserve"> HYPERLINK \l "_Toc256000151" </w:instrText>
          </w:r>
          <w:r>
            <w:fldChar w:fldCharType="separate"/>
          </w:r>
          <w:r>
            <w:rPr>
              <w:rStyle w:val="22"/>
              <w:rFonts w:ascii="仿宋" w:hAnsi="仿宋" w:eastAsia="仿宋" w:cs="仿宋"/>
            </w:rPr>
            <w:t>四、政府性基金预算财政拨款支出决算情况说明</w:t>
          </w:r>
          <w:r>
            <w:tab/>
          </w:r>
          <w:r>
            <w:fldChar w:fldCharType="begin"/>
          </w:r>
          <w:r>
            <w:instrText xml:space="preserve"> PAGEREF _Toc256000151 \h </w:instrText>
          </w:r>
          <w:r>
            <w:fldChar w:fldCharType="separate"/>
          </w:r>
          <w:r>
            <w:t>35</w:t>
          </w:r>
          <w:r>
            <w:fldChar w:fldCharType="end"/>
          </w:r>
          <w:r>
            <w:fldChar w:fldCharType="end"/>
          </w:r>
        </w:p>
        <w:p w14:paraId="46A3CDBD">
          <w:pPr>
            <w:pStyle w:val="10"/>
            <w:tabs>
              <w:tab w:val="right" w:leader="dot" w:pos="9730"/>
            </w:tabs>
            <w:rPr>
              <w:rFonts w:asciiTheme="minorHAnsi" w:hAnsiTheme="minorHAnsi"/>
              <w:sz w:val="22"/>
            </w:rPr>
          </w:pPr>
          <w:r>
            <w:fldChar w:fldCharType="begin"/>
          </w:r>
          <w:r>
            <w:instrText xml:space="preserve"> HYPERLINK \l "_Toc256000152" </w:instrText>
          </w:r>
          <w:r>
            <w:fldChar w:fldCharType="separate"/>
          </w:r>
          <w:r>
            <w:rPr>
              <w:rStyle w:val="22"/>
              <w:rFonts w:ascii="仿宋" w:hAnsi="仿宋" w:eastAsia="仿宋" w:cs="仿宋"/>
            </w:rPr>
            <w:t>五、国有资本经营预算财政拨款支出决算情况说明</w:t>
          </w:r>
          <w:r>
            <w:tab/>
          </w:r>
          <w:r>
            <w:fldChar w:fldCharType="begin"/>
          </w:r>
          <w:r>
            <w:instrText xml:space="preserve"> PAGEREF _Toc256000152 \h </w:instrText>
          </w:r>
          <w:r>
            <w:fldChar w:fldCharType="separate"/>
          </w:r>
          <w:r>
            <w:t>35</w:t>
          </w:r>
          <w:r>
            <w:fldChar w:fldCharType="end"/>
          </w:r>
          <w:r>
            <w:fldChar w:fldCharType="end"/>
          </w:r>
        </w:p>
        <w:p w14:paraId="077F8135">
          <w:pPr>
            <w:pStyle w:val="10"/>
            <w:tabs>
              <w:tab w:val="right" w:leader="dot" w:pos="9730"/>
            </w:tabs>
            <w:rPr>
              <w:rFonts w:asciiTheme="minorHAnsi" w:hAnsiTheme="minorHAnsi"/>
              <w:sz w:val="22"/>
            </w:rPr>
          </w:pPr>
          <w:r>
            <w:fldChar w:fldCharType="begin"/>
          </w:r>
          <w:r>
            <w:instrText xml:space="preserve"> HYPERLINK \l "_Toc256000153" </w:instrText>
          </w:r>
          <w:r>
            <w:fldChar w:fldCharType="separate"/>
          </w:r>
          <w:r>
            <w:rPr>
              <w:rStyle w:val="22"/>
              <w:rFonts w:ascii="仿宋" w:hAnsi="仿宋" w:eastAsia="仿宋" w:cs="仿宋"/>
            </w:rPr>
            <w:t>六、一般公共预算财政拨款基本支出决算情况说明</w:t>
          </w:r>
          <w:r>
            <w:tab/>
          </w:r>
          <w:r>
            <w:fldChar w:fldCharType="begin"/>
          </w:r>
          <w:r>
            <w:instrText xml:space="preserve"> PAGEREF _Toc256000153 \h </w:instrText>
          </w:r>
          <w:r>
            <w:fldChar w:fldCharType="separate"/>
          </w:r>
          <w:r>
            <w:t>35</w:t>
          </w:r>
          <w:r>
            <w:fldChar w:fldCharType="end"/>
          </w:r>
          <w:r>
            <w:fldChar w:fldCharType="end"/>
          </w:r>
        </w:p>
        <w:p w14:paraId="6456960C">
          <w:pPr>
            <w:pStyle w:val="10"/>
            <w:tabs>
              <w:tab w:val="right" w:leader="dot" w:pos="9730"/>
            </w:tabs>
            <w:rPr>
              <w:rFonts w:asciiTheme="minorHAnsi" w:hAnsiTheme="minorHAnsi"/>
              <w:sz w:val="22"/>
            </w:rPr>
          </w:pPr>
          <w:r>
            <w:fldChar w:fldCharType="begin"/>
          </w:r>
          <w:r>
            <w:instrText xml:space="preserve"> HYPERLINK \l "_Toc256000154" </w:instrText>
          </w:r>
          <w:r>
            <w:fldChar w:fldCharType="separate"/>
          </w:r>
          <w:r>
            <w:rPr>
              <w:rStyle w:val="22"/>
              <w:rFonts w:ascii="仿宋" w:hAnsi="仿宋" w:eastAsia="仿宋" w:cs="仿宋"/>
            </w:rPr>
            <w:t>七、一般公共预算拨款“三公”经费支出决算情况说明</w:t>
          </w:r>
          <w:r>
            <w:tab/>
          </w:r>
          <w:r>
            <w:fldChar w:fldCharType="begin"/>
          </w:r>
          <w:r>
            <w:instrText xml:space="preserve"> PAGEREF _Toc256000154 \h </w:instrText>
          </w:r>
          <w:r>
            <w:fldChar w:fldCharType="separate"/>
          </w:r>
          <w:r>
            <w:t>36</w:t>
          </w:r>
          <w:r>
            <w:fldChar w:fldCharType="end"/>
          </w:r>
          <w:r>
            <w:fldChar w:fldCharType="end"/>
          </w:r>
        </w:p>
        <w:p w14:paraId="79A1C626">
          <w:pPr>
            <w:pStyle w:val="10"/>
            <w:tabs>
              <w:tab w:val="right" w:leader="dot" w:pos="9730"/>
            </w:tabs>
            <w:rPr>
              <w:rFonts w:asciiTheme="minorHAnsi" w:hAnsiTheme="minorHAnsi"/>
              <w:sz w:val="22"/>
            </w:rPr>
          </w:pPr>
          <w:r>
            <w:fldChar w:fldCharType="begin"/>
          </w:r>
          <w:r>
            <w:instrText xml:space="preserve"> HYPERLINK \l "_Toc256000155" </w:instrText>
          </w:r>
          <w:r>
            <w:fldChar w:fldCharType="separate"/>
          </w:r>
          <w:r>
            <w:rPr>
              <w:rStyle w:val="22"/>
              <w:rFonts w:ascii="仿宋" w:hAnsi="仿宋" w:eastAsia="仿宋" w:cs="仿宋"/>
            </w:rPr>
            <w:t>八、预算绩效情况说明</w:t>
          </w:r>
          <w:r>
            <w:tab/>
          </w:r>
          <w:r>
            <w:fldChar w:fldCharType="begin"/>
          </w:r>
          <w:r>
            <w:instrText xml:space="preserve"> PAGEREF _Toc256000155 \h </w:instrText>
          </w:r>
          <w:r>
            <w:fldChar w:fldCharType="separate"/>
          </w:r>
          <w:r>
            <w:t>36</w:t>
          </w:r>
          <w:r>
            <w:fldChar w:fldCharType="end"/>
          </w:r>
          <w:r>
            <w:fldChar w:fldCharType="end"/>
          </w:r>
        </w:p>
        <w:p w14:paraId="3FB7A36C">
          <w:pPr>
            <w:pStyle w:val="10"/>
            <w:tabs>
              <w:tab w:val="right" w:leader="dot" w:pos="9730"/>
            </w:tabs>
            <w:rPr>
              <w:rFonts w:asciiTheme="minorHAnsi" w:hAnsiTheme="minorHAnsi"/>
              <w:sz w:val="22"/>
            </w:rPr>
          </w:pPr>
          <w:r>
            <w:fldChar w:fldCharType="begin"/>
          </w:r>
          <w:r>
            <w:instrText xml:space="preserve"> HYPERLINK \l "_Toc256000156" </w:instrText>
          </w:r>
          <w:r>
            <w:fldChar w:fldCharType="separate"/>
          </w:r>
          <w:r>
            <w:rPr>
              <w:rStyle w:val="22"/>
              <w:rFonts w:ascii="仿宋" w:hAnsi="仿宋" w:eastAsia="仿宋" w:cs="仿宋"/>
            </w:rPr>
            <w:t>九、其他重要事项说明</w:t>
          </w:r>
          <w:r>
            <w:tab/>
          </w:r>
          <w:r>
            <w:fldChar w:fldCharType="begin"/>
          </w:r>
          <w:r>
            <w:instrText xml:space="preserve"> PAGEREF _Toc256000156 \h </w:instrText>
          </w:r>
          <w:r>
            <w:fldChar w:fldCharType="separate"/>
          </w:r>
          <w:r>
            <w:t>37</w:t>
          </w:r>
          <w:r>
            <w:fldChar w:fldCharType="end"/>
          </w:r>
          <w:r>
            <w:fldChar w:fldCharType="end"/>
          </w:r>
        </w:p>
        <w:p w14:paraId="7794713B">
          <w:pPr>
            <w:pStyle w:val="17"/>
            <w:tabs>
              <w:tab w:val="right" w:leader="dot" w:pos="9730"/>
            </w:tabs>
            <w:rPr>
              <w:rFonts w:asciiTheme="minorHAnsi" w:hAnsiTheme="minorHAnsi"/>
              <w:sz w:val="22"/>
            </w:rPr>
          </w:pPr>
          <w:r>
            <w:fldChar w:fldCharType="begin"/>
          </w:r>
          <w:r>
            <w:instrText xml:space="preserve"> HYPERLINK \l "_Toc256000157" </w:instrText>
          </w:r>
          <w:r>
            <w:fldChar w:fldCharType="separate"/>
          </w:r>
          <w:r>
            <w:rPr>
              <w:rStyle w:val="22"/>
              <w:rFonts w:ascii="仿宋" w:hAnsi="仿宋" w:eastAsia="仿宋" w:cs="仿宋"/>
            </w:rPr>
            <w:t>第四部分</w:t>
          </w:r>
          <w:r>
            <w:rPr>
              <w:rStyle w:val="22"/>
              <w:rFonts w:ascii="黑体" w:hAnsi="黑体" w:eastAsia="黑体" w:cs="黑体"/>
            </w:rPr>
            <w:t xml:space="preserve"> </w:t>
          </w:r>
          <w:r>
            <w:rPr>
              <w:rStyle w:val="22"/>
              <w:rFonts w:ascii="仿宋" w:hAnsi="仿宋" w:eastAsia="仿宋" w:cs="仿宋"/>
            </w:rPr>
            <w:t>名词解释</w:t>
          </w:r>
          <w:r>
            <w:tab/>
          </w:r>
          <w:r>
            <w:fldChar w:fldCharType="begin"/>
          </w:r>
          <w:r>
            <w:instrText xml:space="preserve"> PAGEREF _Toc256000157 \h </w:instrText>
          </w:r>
          <w:r>
            <w:fldChar w:fldCharType="separate"/>
          </w:r>
          <w:r>
            <w:t>39</w:t>
          </w:r>
          <w:r>
            <w:fldChar w:fldCharType="end"/>
          </w:r>
          <w:r>
            <w:fldChar w:fldCharType="end"/>
          </w:r>
        </w:p>
        <w:p w14:paraId="0F832FF2">
          <w:pPr>
            <w:pStyle w:val="17"/>
            <w:tabs>
              <w:tab w:val="right" w:leader="dot" w:pos="9730"/>
            </w:tabs>
            <w:rPr>
              <w:rFonts w:asciiTheme="minorHAnsi" w:hAnsiTheme="minorHAnsi"/>
              <w:sz w:val="22"/>
            </w:rPr>
          </w:pPr>
          <w:r>
            <w:fldChar w:fldCharType="begin"/>
          </w:r>
          <w:r>
            <w:instrText xml:space="preserve"> HYPERLINK \l "_Toc256000158" </w:instrText>
          </w:r>
          <w:r>
            <w:fldChar w:fldCharType="separate"/>
          </w:r>
          <w:r>
            <w:rPr>
              <w:rStyle w:val="22"/>
              <w:rFonts w:ascii="仿宋" w:hAnsi="仿宋" w:eastAsia="仿宋" w:cs="仿宋"/>
            </w:rPr>
            <w:t>第五部分</w:t>
          </w:r>
          <w:r>
            <w:rPr>
              <w:rStyle w:val="22"/>
              <w:rFonts w:ascii="黑体" w:hAnsi="黑体" w:eastAsia="黑体" w:cs="黑体"/>
            </w:rPr>
            <w:t xml:space="preserve"> </w:t>
          </w:r>
          <w:r>
            <w:rPr>
              <w:rStyle w:val="22"/>
              <w:rFonts w:ascii="仿宋" w:hAnsi="仿宋" w:eastAsia="仿宋" w:cs="仿宋"/>
            </w:rPr>
            <w:t>附件</w:t>
          </w:r>
          <w:r>
            <w:tab/>
          </w:r>
          <w:r>
            <w:fldChar w:fldCharType="begin"/>
          </w:r>
          <w:r>
            <w:instrText xml:space="preserve"> PAGEREF _Toc256000158 \h </w:instrText>
          </w:r>
          <w:r>
            <w:fldChar w:fldCharType="separate"/>
          </w:r>
          <w:r>
            <w:t>42</w:t>
          </w:r>
          <w:r>
            <w:fldChar w:fldCharType="end"/>
          </w:r>
          <w:r>
            <w:fldChar w:fldCharType="end"/>
          </w:r>
        </w:p>
        <w:p w14:paraId="4FED62E9">
          <w:pPr>
            <w:adjustRightInd w:val="0"/>
            <w:snapToGrid w:val="0"/>
            <w:rPr>
              <w:rFonts w:hint="eastAsia" w:ascii="仿宋" w:hAnsi="仿宋" w:eastAsia="仿宋" w:cs="仿宋"/>
              <w:b w:val="0"/>
              <w:bCs/>
              <w:kern w:val="2"/>
              <w:sz w:val="32"/>
              <w:szCs w:val="32"/>
              <w:lang w:val="en-US" w:eastAsia="zh-CN" w:bidi="ar-SA"/>
            </w:rPr>
            <w:sectPr>
              <w:footerReference r:id="rId4" w:type="default"/>
              <w:pgSz w:w="11906" w:h="16838"/>
              <w:pgMar w:top="1440" w:right="1083" w:bottom="1440" w:left="1083" w:header="0" w:footer="720" w:gutter="0"/>
              <w:pgNumType w:start="1"/>
              <w:cols w:space="0" w:num="1"/>
              <w:rtlGutter w:val="0"/>
              <w:docGrid w:type="lines" w:linePitch="317" w:charSpace="0"/>
            </w:sectPr>
          </w:pPr>
          <w:r>
            <w:rPr>
              <w:rFonts w:hint="eastAsia" w:ascii="仿宋" w:hAnsi="仿宋" w:eastAsia="仿宋" w:cs="仿宋"/>
              <w:b w:val="0"/>
              <w:bCs/>
              <w:kern w:val="2"/>
              <w:sz w:val="32"/>
              <w:szCs w:val="32"/>
              <w:lang w:val="en-US" w:eastAsia="zh-CN" w:bidi="ar-SA"/>
            </w:rPr>
            <w:fldChar w:fldCharType="end"/>
          </w:r>
        </w:p>
      </w:sdtContent>
    </w:sdt>
    <w:p w14:paraId="70202DA5">
      <w:pPr>
        <w:widowControl/>
        <w:spacing w:after="240"/>
        <w:jc w:val="left"/>
        <w:rPr>
          <w:rFonts w:ascii="Times New Roman" w:hAnsi="Times New Roman" w:eastAsia="Times New Roman" w:cs="Times New Roman"/>
          <w:kern w:val="0"/>
          <w:sz w:val="24"/>
        </w:rPr>
      </w:pPr>
      <w:bookmarkStart w:id="0" w:name="a000"/>
    </w:p>
    <w:p w14:paraId="24916CA9">
      <w:pPr>
        <w:widowControl/>
        <w:spacing w:before="240" w:after="240"/>
        <w:jc w:val="left"/>
        <w:rPr>
          <w:rFonts w:ascii="Times New Roman" w:hAnsi="Times New Roman" w:eastAsia="Times New Roman" w:cs="Times New Roman"/>
          <w:kern w:val="0"/>
          <w:sz w:val="24"/>
        </w:rPr>
      </w:pPr>
    </w:p>
    <w:p w14:paraId="35223353">
      <w:pPr>
        <w:widowControl/>
        <w:spacing w:before="240" w:after="240"/>
        <w:jc w:val="left"/>
        <w:rPr>
          <w:rFonts w:ascii="Times New Roman" w:hAnsi="Times New Roman" w:eastAsia="Times New Roman" w:cs="Times New Roman"/>
          <w:kern w:val="0"/>
          <w:sz w:val="24"/>
        </w:rPr>
      </w:pPr>
    </w:p>
    <w:p w14:paraId="023008FA">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 w:name="_Toc256000105"/>
      <w:bookmarkStart w:id="2" w:name="_Toc256000054"/>
      <w:bookmarkStart w:id="3" w:name="_Toc256000000"/>
      <w:bookmarkStart w:id="4" w:name="_Toc256000011"/>
      <w:bookmarkStart w:id="5" w:name="_Toc256000027"/>
      <w:bookmarkStart w:id="6" w:name="_Toc256000132"/>
      <w:r>
        <w:rPr>
          <w:rFonts w:ascii="黑体" w:hAnsi="黑体" w:eastAsia="黑体" w:cs="黑体"/>
          <w:b w:val="0"/>
          <w:bCs w:val="0"/>
          <w:spacing w:val="0"/>
          <w:sz w:val="56"/>
          <w:szCs w:val="56"/>
        </w:rPr>
        <w:t>第一部分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单位概况</w:t>
      </w:r>
      <w:bookmarkEnd w:id="1"/>
      <w:bookmarkEnd w:id="2"/>
      <w:bookmarkEnd w:id="3"/>
      <w:bookmarkEnd w:id="4"/>
      <w:bookmarkEnd w:id="5"/>
      <w:bookmarkEnd w:id="6"/>
    </w:p>
    <w:p w14:paraId="7CDBE6A3">
      <w:pPr>
        <w:sectPr>
          <w:footerReference r:id="rId5" w:type="default"/>
          <w:pgSz w:w="11906" w:h="16838"/>
          <w:pgMar w:top="1440" w:right="720" w:bottom="1440" w:left="720" w:header="720" w:footer="720" w:gutter="0"/>
          <w:pgNumType w:start="1"/>
          <w:cols w:space="720" w:num="1"/>
        </w:sectPr>
      </w:pPr>
    </w:p>
    <w:p w14:paraId="638F8AB7">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1DDF3A34">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7" w:name="_Toc256000028"/>
      <w:bookmarkStart w:id="8" w:name="_Toc256000055"/>
      <w:bookmarkStart w:id="9" w:name="_Toc256000001"/>
      <w:bookmarkStart w:id="10" w:name="_Toc256000106"/>
      <w:bookmarkStart w:id="11" w:name="_Toc256000038"/>
      <w:bookmarkStart w:id="12" w:name="_Toc256000133"/>
      <w:r>
        <w:rPr>
          <w:rFonts w:ascii="黑体" w:hAnsi="黑体" w:eastAsia="黑体" w:cs="黑体"/>
          <w:b w:val="0"/>
          <w:bCs w:val="0"/>
          <w:spacing w:val="0"/>
        </w:rPr>
        <w:t>一、单位主要职责</w:t>
      </w:r>
      <w:bookmarkEnd w:id="7"/>
      <w:bookmarkEnd w:id="8"/>
      <w:bookmarkEnd w:id="9"/>
      <w:bookmarkEnd w:id="10"/>
      <w:bookmarkEnd w:id="11"/>
      <w:bookmarkEnd w:id="12"/>
    </w:p>
    <w:p w14:paraId="384962A2">
      <w:pPr>
        <w:pStyle w:val="29"/>
        <w:widowControl/>
        <w:spacing w:before="100" w:after="100" w:line="560" w:lineRule="atLeast"/>
        <w:ind w:left="100" w:right="100" w:firstLine="64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莆田市荔城区镇海街道办事处本级单位的主要职责是：</w:t>
      </w:r>
    </w:p>
    <w:p w14:paraId="7FF2485D">
      <w:pPr>
        <w:pStyle w:val="29"/>
        <w:widowControl/>
        <w:numPr>
          <w:ilvl w:val="0"/>
          <w:numId w:val="1"/>
        </w:numPr>
        <w:spacing w:before="100" w:after="100" w:line="560" w:lineRule="atLeast"/>
        <w:ind w:left="100" w:right="100" w:firstLine="64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贯彻执行党和国家的路线方针、政策以及市、区关于街道工作方面的指示，制订具体的管理办法并组织实施。</w:t>
      </w:r>
    </w:p>
    <w:p w14:paraId="5560F3F8">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指导、搞好辖区内居委会的工作，支持、帮助居民委员会加强思想、组织、制度建设，向上级人民政府和有关部门及时反映居民的意见、建议和要求。</w:t>
      </w:r>
    </w:p>
    <w:p w14:paraId="46277FF1">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抓好社区文化建设，开展文明街道、文明单位，文明小区建设活动，组织居民开展经常性的文化、娱乐、体育活动。</w:t>
      </w:r>
    </w:p>
    <w:p w14:paraId="44ED11FB">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负责街道的人民调解、治安保卫工作，加强对违法青少年的帮教转化，保护老人、妇女、儿童的合法权益。</w:t>
      </w:r>
    </w:p>
    <w:p w14:paraId="391FBFCC">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协助有关部门做好辖区拥军优属、优抚安置、社会救济、殡葬改革、残疾人就业等工作；积极开展便民利民的社区服务和社区教育工作。</w:t>
      </w:r>
    </w:p>
    <w:p w14:paraId="1C5E0DD1">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会同有关部门做好辖区内常住和流动人口的管理。</w:t>
      </w:r>
    </w:p>
    <w:p w14:paraId="7B9EFE24">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协助武装部门做好辖区民兵训练和公民服兵役工作。</w:t>
      </w:r>
    </w:p>
    <w:p w14:paraId="63A60A20">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负责在辖区开展普法教育工作，做好民事调解，开展法律咨询、服务等工作，维护居民的合法权益，搞好辖区内社会管理综合治理工作。</w:t>
      </w:r>
    </w:p>
    <w:p w14:paraId="41FF7BAE">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负责本辖区的城市管理工作，发动群众开展爱国卫生运动，绿化、美化、净化城市环境，协助有关部门做好环境卫生、环境保护工作。</w:t>
      </w:r>
    </w:p>
    <w:p w14:paraId="14DEA1C5">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 w:name="_Toc256000107"/>
      <w:bookmarkStart w:id="14" w:name="_Toc256000029"/>
      <w:bookmarkStart w:id="15" w:name="_Toc256000002"/>
      <w:bookmarkStart w:id="16" w:name="_Toc256000134"/>
      <w:bookmarkStart w:id="17" w:name="_Toc256000065"/>
      <w:bookmarkStart w:id="18" w:name="_Toc256000056"/>
      <w:r>
        <w:rPr>
          <w:rFonts w:ascii="黑体" w:hAnsi="黑体" w:eastAsia="黑体" w:cs="黑体"/>
          <w:b w:val="0"/>
          <w:bCs w:val="0"/>
          <w:spacing w:val="0"/>
        </w:rPr>
        <w:t>二、单位基本情况</w:t>
      </w:r>
      <w:bookmarkEnd w:id="13"/>
      <w:bookmarkEnd w:id="14"/>
      <w:bookmarkEnd w:id="15"/>
      <w:bookmarkEnd w:id="16"/>
      <w:bookmarkEnd w:id="17"/>
      <w:bookmarkEnd w:id="18"/>
    </w:p>
    <w:p w14:paraId="74FF8DB9">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从决算单位构成看，本单位包括1个内设机构，其中：列入2024年决算编制范围的单位详细情况见下表:</w:t>
      </w:r>
    </w:p>
    <w:tbl>
      <w:tblPr>
        <w:tblStyle w:val="19"/>
        <w:tblW w:w="5000" w:type="pct"/>
        <w:tblInd w:w="13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4671"/>
        <w:gridCol w:w="3503"/>
        <w:gridCol w:w="2336"/>
      </w:tblGrid>
      <w:tr w14:paraId="56D074D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blHeader/>
        </w:trPr>
        <w:tc>
          <w:tcPr>
            <w:tcW w:w="2000" w:type="pct"/>
            <w:tcBorders>
              <w:bottom w:val="inset" w:color="808080" w:sz="6" w:space="0"/>
              <w:right w:val="inset" w:color="808080" w:sz="6" w:space="0"/>
            </w:tcBorders>
            <w:noWrap w:val="0"/>
            <w:tcMar>
              <w:top w:w="22" w:type="dxa"/>
              <w:left w:w="22" w:type="dxa"/>
              <w:bottom w:w="22" w:type="dxa"/>
              <w:right w:w="22" w:type="dxa"/>
            </w:tcMar>
            <w:vAlign w:val="center"/>
          </w:tcPr>
          <w:p w14:paraId="2256B17E">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单位名称</w:t>
            </w:r>
          </w:p>
        </w:tc>
        <w:tc>
          <w:tcPr>
            <w:tcW w:w="1500"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B06CC6F">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单位性质</w:t>
            </w:r>
          </w:p>
        </w:tc>
        <w:tc>
          <w:tcPr>
            <w:tcW w:w="1000" w:type="pct"/>
            <w:tcBorders>
              <w:left w:val="inset" w:color="808080" w:sz="6" w:space="0"/>
              <w:bottom w:val="inset" w:color="808080" w:sz="6" w:space="0"/>
            </w:tcBorders>
            <w:noWrap w:val="0"/>
            <w:tcMar>
              <w:top w:w="22" w:type="dxa"/>
              <w:left w:w="22" w:type="dxa"/>
              <w:bottom w:w="22" w:type="dxa"/>
              <w:right w:w="22" w:type="dxa"/>
            </w:tcMar>
            <w:vAlign w:val="center"/>
          </w:tcPr>
          <w:p w14:paraId="0DF10969">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在职人数</w:t>
            </w:r>
          </w:p>
        </w:tc>
      </w:tr>
      <w:tr w14:paraId="0C8028D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4258" w:type="dxa"/>
            <w:tcBorders>
              <w:top w:val="inset" w:color="808080" w:sz="6" w:space="0"/>
              <w:right w:val="inset" w:color="808080" w:sz="6" w:space="0"/>
            </w:tcBorders>
            <w:noWrap w:val="0"/>
            <w:tcMar>
              <w:top w:w="22" w:type="dxa"/>
              <w:left w:w="22" w:type="dxa"/>
              <w:bottom w:w="22" w:type="dxa"/>
              <w:right w:w="22" w:type="dxa"/>
            </w:tcMar>
            <w:vAlign w:val="center"/>
          </w:tcPr>
          <w:p w14:paraId="23C9C8EE">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莆田市荔城区镇海街道办事处本级</w:t>
            </w:r>
          </w:p>
        </w:tc>
        <w:tc>
          <w:tcPr>
            <w:tcW w:w="3193" w:type="dxa"/>
            <w:tcBorders>
              <w:top w:val="inset" w:color="808080" w:sz="6" w:space="0"/>
              <w:left w:val="inset" w:color="808080" w:sz="6" w:space="0"/>
              <w:right w:val="inset" w:color="808080" w:sz="6" w:space="0"/>
            </w:tcBorders>
            <w:noWrap w:val="0"/>
            <w:tcMar>
              <w:top w:w="22" w:type="dxa"/>
              <w:left w:w="22" w:type="dxa"/>
              <w:bottom w:w="22" w:type="dxa"/>
              <w:right w:w="22" w:type="dxa"/>
            </w:tcMar>
            <w:vAlign w:val="center"/>
          </w:tcPr>
          <w:p w14:paraId="1CE08202">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行政单位</w:t>
            </w:r>
          </w:p>
        </w:tc>
        <w:tc>
          <w:tcPr>
            <w:tcW w:w="2129" w:type="dxa"/>
            <w:tcBorders>
              <w:top w:val="inset" w:color="808080" w:sz="6" w:space="0"/>
              <w:left w:val="inset" w:color="808080" w:sz="6" w:space="0"/>
            </w:tcBorders>
            <w:noWrap w:val="0"/>
            <w:tcMar>
              <w:top w:w="22" w:type="dxa"/>
              <w:left w:w="22" w:type="dxa"/>
              <w:bottom w:w="22" w:type="dxa"/>
              <w:right w:w="22" w:type="dxa"/>
            </w:tcMar>
            <w:vAlign w:val="center"/>
          </w:tcPr>
          <w:p w14:paraId="645D6A10">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20</w:t>
            </w:r>
          </w:p>
        </w:tc>
      </w:tr>
    </w:tbl>
    <w:p w14:paraId="5011ACE7">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9" w:name="_Toc256000030"/>
      <w:bookmarkStart w:id="20" w:name="_Toc256000135"/>
      <w:bookmarkStart w:id="21" w:name="_Toc256000108"/>
      <w:bookmarkStart w:id="22" w:name="_Toc256000003"/>
      <w:bookmarkStart w:id="23" w:name="_Toc256000081"/>
      <w:bookmarkStart w:id="24" w:name="_Toc256000057"/>
      <w:r>
        <w:rPr>
          <w:rFonts w:ascii="黑体" w:hAnsi="黑体" w:eastAsia="黑体" w:cs="黑体"/>
          <w:b w:val="0"/>
          <w:bCs w:val="0"/>
          <w:spacing w:val="0"/>
        </w:rPr>
        <w:t>三、单位主要工作总结</w:t>
      </w:r>
      <w:bookmarkEnd w:id="19"/>
      <w:bookmarkEnd w:id="20"/>
      <w:bookmarkEnd w:id="21"/>
      <w:bookmarkEnd w:id="22"/>
      <w:bookmarkEnd w:id="23"/>
      <w:bookmarkEnd w:id="24"/>
    </w:p>
    <w:p w14:paraId="3A6AF215">
      <w:pPr>
        <w:pStyle w:val="29"/>
        <w:widowControl/>
        <w:spacing w:before="100" w:after="100" w:line="560" w:lineRule="atLeast"/>
        <w:ind w:right="100" w:firstLine="640" w:firstLineChars="20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2024年，莆田市荔城区镇海街道办事处本级单位主要任务是</w:t>
      </w:r>
      <w:r>
        <w:rPr>
          <w:rFonts w:hint="eastAsia" w:ascii="仿宋_GB2312" w:hAnsi="仿宋_GB2312" w:eastAsia="仿宋_GB2312" w:cs="仿宋_GB2312"/>
          <w:spacing w:val="0"/>
          <w:kern w:val="0"/>
          <w:sz w:val="32"/>
          <w:szCs w:val="32"/>
          <w:lang w:eastAsia="zh-CN"/>
        </w:rPr>
        <w:t>：</w:t>
      </w:r>
      <w:r>
        <w:rPr>
          <w:rFonts w:ascii="仿宋_GB2312" w:hAnsi="仿宋_GB2312" w:eastAsia="仿宋_GB2312" w:cs="仿宋_GB2312"/>
          <w:spacing w:val="0"/>
          <w:kern w:val="0"/>
          <w:sz w:val="32"/>
          <w:szCs w:val="32"/>
        </w:rPr>
        <w:t>2024年是中华人民共和国成立75周年，是实现“十四五”规划目标任务的关键一年。一年来，我们坚持以习近平新时代中国特色社会主义思想为指导，坚决贯彻习近平总书记重要指示批示精神，在区委、区政府的坚强领导下，全面落实“深学争优、敢为争先、实干争效”行动，凝心聚力、苦干实干，各项事业取得了新的进展。2024年，实现财政总收入6.00亿元、下降1.8%；固定资产投资11.28亿元、下降12.96%；规上工业产值3.59亿元、增长25.64%；限上贸易额86.27亿元、增长27.66%。围绕上述任务，重点完成了以下工作：</w:t>
      </w:r>
    </w:p>
    <w:p w14:paraId="4FB04CB4">
      <w:pPr>
        <w:pStyle w:val="29"/>
        <w:widowControl/>
        <w:spacing w:before="100" w:after="100" w:line="560" w:lineRule="atLeast"/>
        <w:ind w:right="100" w:firstLine="640" w:firstLineChars="20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坚持稳中求进，持续筑牢领先领跑基础。聚力招商引资，用好用活“一把手”招商、产业链招商、以商招商等机制。招商对接泰盛再生资源体系建设项目、馨纪源中心、易方达商业中心等3个项目，全流程跟踪对接项目需求，高效推进项目落地转化。积极策划招商空间，着力盘活七星汇、三骏、铂景等闲置楼宇资源2.5万平方米，作为新一轮招商企业入驻地。街道两委成员累计走访服务规上工业企业和重点商贸企业130家，推动惠企政策直达企业，精准对接服务企业需求。新增“下转上”企业21家。</w:t>
      </w:r>
      <w:r>
        <w:rPr>
          <w:rFonts w:ascii="仿宋_GB2312" w:hAnsi="仿宋_GB2312" w:eastAsia="仿宋_GB2312" w:cs="仿宋_GB2312"/>
          <w:spacing w:val="0"/>
          <w:kern w:val="0"/>
          <w:sz w:val="32"/>
          <w:szCs w:val="32"/>
        </w:rPr>
        <w:br w:type="textWrapping"/>
      </w:r>
      <w:r>
        <w:rPr>
          <w:rFonts w:hint="eastAsia" w:ascii="仿宋_GB2312" w:hAnsi="仿宋_GB2312" w:eastAsia="仿宋_GB2312" w:cs="仿宋_GB2312"/>
          <w:spacing w:val="0"/>
          <w:kern w:val="0"/>
          <w:sz w:val="32"/>
          <w:szCs w:val="32"/>
          <w:lang w:val="en-US" w:eastAsia="zh-CN"/>
        </w:rPr>
        <w:t xml:space="preserve">    </w:t>
      </w:r>
      <w:r>
        <w:rPr>
          <w:rFonts w:ascii="仿宋_GB2312" w:hAnsi="仿宋_GB2312" w:eastAsia="仿宋_GB2312" w:cs="仿宋_GB2312"/>
          <w:spacing w:val="0"/>
          <w:kern w:val="0"/>
          <w:sz w:val="32"/>
          <w:szCs w:val="32"/>
        </w:rPr>
        <w:t>坚持项目引领，持续改善城乡环境面貌。城区建设有序推进。精心谋划实施城建项目，持续提升城市功能品质。抓好项目前期保障，获批用地7宗6.0049公顷。301电台项目已通过总体验收。加速推进玉湖城镇旧住宅改造(新溪A、阔口)项目等安置房项目建设。城南市场片区征迁改造已完成前期情况摸底工作。同步启动玉湖新城古山片区安置房D区、玉湖路网三、玉湖运动场周边绿化带、玉湖新城古山民俗文化展示馆等项目前期手续。宜居水平持续提升。深入实施老旧片区改造提升，西社小区、证券小区等8个老旧小区完成竣工验收，2024年老旧片区改造项目开工建设。零容忍打击“两违”，加大力度处置拆除“两违”，有效处置38栋重大安全隐患房屋，排查经营性自建房412栋。全力推进“双创”工作，清理生活垃圾2.21万吨、清理病媒孳生地7869处、清理“十乱”709处，新建8座垃圾分类屋（亭）。生态环境不断改善。全力配合开展第三轮中央生态环境保护督察工作，辖区内共有环保中督件14件，主办3件环保督察件已全部整改验收，协办11件已整改到位。巩固大气治理成果，开展餐饮油烟污染专项整治行动，解决餐饮行业油烟排放问题，维护良好生态环境。严格落实河长制工作要求，三级河长携手共治，阔口渠、埭尾沟、步云沟河道综合整治工程扎实推进，阔口渠橡皮坝水质类别稳定维持在Ⅲ—Ⅳ类，埭尾沟自测水质达标，步云沟生态明显提升。</w:t>
      </w:r>
      <w:r>
        <w:rPr>
          <w:rFonts w:ascii="仿宋_GB2312" w:hAnsi="仿宋_GB2312" w:eastAsia="仿宋_GB2312" w:cs="仿宋_GB2312"/>
          <w:spacing w:val="0"/>
          <w:kern w:val="0"/>
          <w:sz w:val="32"/>
          <w:szCs w:val="32"/>
        </w:rPr>
        <w:br w:type="textWrapping"/>
      </w:r>
      <w:r>
        <w:rPr>
          <w:rFonts w:hint="eastAsia" w:ascii="仿宋_GB2312" w:hAnsi="仿宋_GB2312" w:eastAsia="仿宋_GB2312" w:cs="仿宋_GB2312"/>
          <w:spacing w:val="0"/>
          <w:kern w:val="0"/>
          <w:sz w:val="32"/>
          <w:szCs w:val="32"/>
          <w:lang w:val="en-US" w:eastAsia="zh-CN"/>
        </w:rPr>
        <w:t xml:space="preserve">    </w:t>
      </w:r>
      <w:r>
        <w:rPr>
          <w:rFonts w:ascii="仿宋_GB2312" w:hAnsi="仿宋_GB2312" w:eastAsia="仿宋_GB2312" w:cs="仿宋_GB2312"/>
          <w:spacing w:val="0"/>
          <w:kern w:val="0"/>
          <w:sz w:val="32"/>
          <w:szCs w:val="32"/>
        </w:rPr>
        <w:t>坚持以人为本，持续增强和谐社会凝聚力。社会保障兜牢兜实。统筹做好社会救助、妇女儿童权益保障和扶残助残等工作，强化困难群体和低收入家庭精准帮扶。保障城乡低保对象 99户148人、低边人员11 户 27人、城乡特困人员 19户 19人，实施临时救助139 人次，发放救助金 24.2345万元。关爱特殊群体，与11个村（社区）签署控辍保学责任书，8名残疾儿童得到义务教育安置。文化事业稳步发展。以街道新时代文明实践所（站）、综合文化站、书院为阵地，充分运用“我们的节日”和重要时间节点开展理论宣讲、科普宣讲、市民教育等文明实践活动。2024年6月，镇海街道综合文化站获评福建省特级综合文化站。兴化府历史文化街区保护提升项目入选住建部“历史文化街区保护利用可复制经验做法清单”、获评省活力“街艺”示范区。大力宣传红色精神、红色文化，哲理钟楼今年以来共接待参观者1800余人次，被中国老区建设促进会、福建省老区建设促进会授予“老区精神教育基地”。公共服务提质增效。积极推进基本养老服务体系建设，共建有长者食堂3处。成立荔城区教育发展促进会镇海街道办事处，表扬66名优秀教师、优秀班主任、优秀教育工作者，营造教育发展良好环境。检查校外培训机构33次，全面助力“双减”政策落实到位。优化提升公共体育设施，新建健身器材8处，打造“10分钟健身圈”。</w:t>
      </w:r>
      <w:r>
        <w:rPr>
          <w:rFonts w:ascii="仿宋_GB2312" w:hAnsi="仿宋_GB2312" w:eastAsia="仿宋_GB2312" w:cs="仿宋_GB2312"/>
          <w:spacing w:val="0"/>
          <w:kern w:val="0"/>
          <w:sz w:val="32"/>
          <w:szCs w:val="32"/>
        </w:rPr>
        <w:br w:type="textWrapping"/>
      </w:r>
      <w:r>
        <w:rPr>
          <w:rFonts w:hint="eastAsia" w:ascii="仿宋_GB2312" w:hAnsi="仿宋_GB2312" w:eastAsia="仿宋_GB2312" w:cs="仿宋_GB2312"/>
          <w:spacing w:val="0"/>
          <w:kern w:val="0"/>
          <w:sz w:val="32"/>
          <w:szCs w:val="32"/>
          <w:lang w:val="en-US" w:eastAsia="zh-CN"/>
        </w:rPr>
        <w:t xml:space="preserve">    </w:t>
      </w:r>
      <w:r>
        <w:rPr>
          <w:rFonts w:ascii="仿宋_GB2312" w:hAnsi="仿宋_GB2312" w:eastAsia="仿宋_GB2312" w:cs="仿宋_GB2312"/>
          <w:spacing w:val="0"/>
          <w:kern w:val="0"/>
          <w:sz w:val="32"/>
          <w:szCs w:val="32"/>
        </w:rPr>
        <w:t>坚持安全发展，持续提升基层治理水平。全力以赴抓好安全生产。深入推进安全生产治本攻坚三年行动、电动自行车安全隐患全链条整治，严格落实安全生产责任，警钟长鸣抓好安全生产大排查大整治，累计检查生产经营单位161 余家，排查和整治各类隐患984 余处，行政处罚18 起、罚款1.26 万元。开展沿街店铺消防安全专项整治，清理“三合一”场所违规住人现象，排查457家，发现隐患457处，已整改379处。压紧压实食品安全“两个责任”，对辖区内28户C级、3013户D级食品生产经营主体开展食品安全包保督导工作，筑牢食品安全防线。全面落实粮食安全责任制，牢牢守住耕地保护红线，粮食播种面积102亩产量36吨，圆满完成粮食生产年度目标任务。从严从紧抓好社会稳定。坚持和发展新时代“枫桥经验”，开展矛盾纠纷大排查大化解行动，深入实施“党建引领、夯基惠民”工程，强化资源整合、职能支撑，搭建以街道综治中心为中枢、11个村（社区）为支撑的综治中心联动阵地，不断提升社会治理质效。镇海街道综治中心作为全市首家乡镇综治中心建设样板点顺利召开全市综治中心现场会。积极做好初信初访办理和信访积案化解工作，今年以来，镇海街道化解10年以上信访积案14件，化解5年以上信访积案15件，化解初信初访57件，群众送来锦旗16面。在全国“两会”、省“两会”期间实现零登记，且截止目前进京访同样保持零登记；初件求决类一次性化解率、有权机关满意率、有权机关参评率均居全区第一。</w:t>
      </w:r>
      <w:r>
        <w:rPr>
          <w:rFonts w:ascii="仿宋_GB2312" w:hAnsi="仿宋_GB2312" w:eastAsia="仿宋_GB2312" w:cs="仿宋_GB2312"/>
          <w:spacing w:val="0"/>
          <w:kern w:val="0"/>
          <w:sz w:val="32"/>
          <w:szCs w:val="32"/>
        </w:rPr>
        <w:br w:type="textWrapping"/>
      </w:r>
      <w:r>
        <w:rPr>
          <w:rFonts w:hint="eastAsia" w:ascii="仿宋_GB2312" w:hAnsi="仿宋_GB2312" w:eastAsia="仿宋_GB2312" w:cs="仿宋_GB2312"/>
          <w:spacing w:val="0"/>
          <w:kern w:val="0"/>
          <w:sz w:val="32"/>
          <w:szCs w:val="32"/>
          <w:lang w:val="en-US" w:eastAsia="zh-CN"/>
        </w:rPr>
        <w:t xml:space="preserve">    </w:t>
      </w:r>
      <w:r>
        <w:rPr>
          <w:rFonts w:ascii="仿宋_GB2312" w:hAnsi="仿宋_GB2312" w:eastAsia="仿宋_GB2312" w:cs="仿宋_GB2312"/>
          <w:spacing w:val="0"/>
          <w:kern w:val="0"/>
          <w:sz w:val="32"/>
          <w:szCs w:val="32"/>
        </w:rPr>
        <w:t>坚持实干为先，持续加强政府自身建设。始终把党的全面领导贯穿政府工作各领域全过程，深入学习贯彻党的二十大精神、党的二十届三中全会精神，深刻领悟“两个确立”的决定性意义，增强“四个意识”、坚定“四个自信”、做到“两个维护”。把党纪学习教育作为推进全面从严治党的重要抓手，通过集中授课、专题宣讲、观摩学习和交流讨论的方式，开展专题培训12场次，参加党员3000人次，组织党员前往哲理钟楼、东圳事迹教育基地等现场教学点参观学习，推动党纪学习教育走深走实。打造10个党群服务站，推动9个党群服务中心提档升级，创设梅峰社区“阳光议事角”等群众共治平台11个，与6个“党建+”邻里中心资源联动、服务联动、功能联动。严格落实意识形态工作责任制，巩固主流意识形态话语权，今年以来，累计在东南网、湄洲日报、莆田晚报等媒体上稿130余篇，在“镇海街道办事处”微信公众号发布文章180余篇。坚持依法行政，主动接受人大法律监督、工作监督和政协民主监督，按期办理按期办理市人大代表建议1件、协办1件，区人大代表建议2件、协办2件，政协委员提案2件、协办12件，办复率均为100%。深化“最多跑一次”改革，强化窗口服务措施，便民服务中心全年办件量19756件。传承弘扬“四下基层”优良作风，12345便民热线受理群众诉求5250件，按时办理率100%，群众满意率99.98%。严格落实过“紧日子”要求，持续压减“三公”经费支出。纵深推进党风廉政建设，锲而不舍落实中央八项规定及其实施细则精神，持之以恒纠治“四风”突出问题，坚决做好巡视、巡察反馈问题整改。全办上下始终保持奋进者姿态、创造性张力，唯实争先、比学赶超的劲头更足，风清气正的政治生态持续巩固。</w:t>
      </w:r>
      <w:r>
        <w:rPr>
          <w:rFonts w:ascii="仿宋_GB2312" w:hAnsi="仿宋_GB2312" w:eastAsia="仿宋_GB2312" w:cs="仿宋_GB2312"/>
          <w:spacing w:val="0"/>
          <w:kern w:val="0"/>
          <w:sz w:val="32"/>
          <w:szCs w:val="32"/>
        </w:rPr>
        <w:br w:type="textWrapping"/>
      </w:r>
      <w:r>
        <w:rPr>
          <w:rFonts w:hint="eastAsia" w:ascii="仿宋_GB2312" w:hAnsi="仿宋_GB2312" w:eastAsia="仿宋_GB2312" w:cs="仿宋_GB2312"/>
          <w:spacing w:val="0"/>
          <w:kern w:val="0"/>
          <w:sz w:val="32"/>
          <w:szCs w:val="32"/>
          <w:lang w:val="en-US" w:eastAsia="zh-CN"/>
        </w:rPr>
        <w:t xml:space="preserve">    </w:t>
      </w:r>
      <w:r>
        <w:rPr>
          <w:rFonts w:ascii="仿宋_GB2312" w:hAnsi="仿宋_GB2312" w:eastAsia="仿宋_GB2312" w:cs="仿宋_GB2312"/>
          <w:spacing w:val="0"/>
          <w:kern w:val="0"/>
          <w:sz w:val="32"/>
          <w:szCs w:val="32"/>
        </w:rPr>
        <w:t>与此同时，老龄、妇女儿童、青少年、残联等事业取得新成效，民族、宗教、统计等工作取得新进展，武装、退役军人事务等工作迈出新步伐。</w:t>
      </w:r>
    </w:p>
    <w:p w14:paraId="6DA5760E">
      <w:pPr>
        <w:sectPr>
          <w:footerReference r:id="rId6" w:type="default"/>
          <w:pgSz w:w="11906" w:h="16838"/>
          <w:pgMar w:top="1440" w:right="720" w:bottom="1440" w:left="720" w:header="720" w:footer="720" w:gutter="0"/>
          <w:cols w:space="720" w:num="1"/>
        </w:sectPr>
      </w:pPr>
    </w:p>
    <w:p w14:paraId="37432A20">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0616EE14">
      <w:pPr>
        <w:pStyle w:val="28"/>
        <w:widowControl/>
        <w:spacing w:before="100" w:after="100"/>
        <w:ind w:left="100" w:right="100" w:firstLine="640"/>
        <w:jc w:val="left"/>
        <w:rPr>
          <w:rFonts w:ascii="Times New Roman" w:hAnsi="Times New Roman" w:eastAsia="Times New Roman" w:cs="Times New Roman"/>
          <w:kern w:val="0"/>
          <w:sz w:val="24"/>
        </w:rPr>
      </w:pPr>
    </w:p>
    <w:p w14:paraId="07535748">
      <w:pPr>
        <w:pStyle w:val="28"/>
        <w:widowControl/>
        <w:spacing w:before="100" w:after="100"/>
        <w:ind w:left="100" w:right="100" w:firstLine="640"/>
        <w:jc w:val="left"/>
        <w:rPr>
          <w:rFonts w:ascii="Times New Roman" w:hAnsi="Times New Roman" w:eastAsia="Times New Roman" w:cs="Times New Roman"/>
          <w:kern w:val="0"/>
          <w:sz w:val="24"/>
        </w:rPr>
      </w:pPr>
    </w:p>
    <w:p w14:paraId="676DBF4F">
      <w:pPr>
        <w:pStyle w:val="28"/>
        <w:widowControl/>
        <w:spacing w:before="100" w:after="100"/>
        <w:ind w:left="100" w:right="100" w:firstLine="640"/>
        <w:jc w:val="left"/>
        <w:rPr>
          <w:rFonts w:ascii="Times New Roman" w:hAnsi="Times New Roman" w:eastAsia="Times New Roman" w:cs="Times New Roman"/>
          <w:kern w:val="0"/>
          <w:sz w:val="24"/>
        </w:rPr>
      </w:pPr>
    </w:p>
    <w:p w14:paraId="35261B7F">
      <w:pPr>
        <w:pStyle w:val="28"/>
        <w:widowControl/>
        <w:spacing w:before="100" w:after="100"/>
        <w:ind w:left="100" w:right="100" w:firstLine="640"/>
        <w:jc w:val="left"/>
        <w:rPr>
          <w:rFonts w:ascii="Times New Roman" w:hAnsi="Times New Roman" w:eastAsia="Times New Roman" w:cs="Times New Roman"/>
          <w:kern w:val="0"/>
          <w:sz w:val="24"/>
        </w:rPr>
      </w:pPr>
    </w:p>
    <w:p w14:paraId="2F91F7DE">
      <w:pPr>
        <w:pStyle w:val="28"/>
        <w:widowControl/>
        <w:spacing w:before="100" w:after="100"/>
        <w:ind w:left="100" w:right="100" w:firstLine="640"/>
        <w:jc w:val="left"/>
        <w:rPr>
          <w:rFonts w:ascii="Times New Roman" w:hAnsi="Times New Roman" w:eastAsia="Times New Roman" w:cs="Times New Roman"/>
          <w:kern w:val="0"/>
          <w:sz w:val="24"/>
        </w:rPr>
      </w:pPr>
    </w:p>
    <w:p w14:paraId="1D86AAFB">
      <w:pPr>
        <w:pStyle w:val="28"/>
        <w:widowControl/>
        <w:spacing w:before="100" w:after="100"/>
        <w:ind w:left="100" w:right="100" w:firstLine="640"/>
        <w:jc w:val="left"/>
        <w:rPr>
          <w:rFonts w:ascii="Times New Roman" w:hAnsi="Times New Roman" w:eastAsia="Times New Roman" w:cs="Times New Roman"/>
          <w:kern w:val="0"/>
          <w:sz w:val="24"/>
        </w:rPr>
      </w:pPr>
    </w:p>
    <w:p w14:paraId="1AB76ED0">
      <w:pPr>
        <w:pStyle w:val="28"/>
        <w:widowControl/>
        <w:spacing w:before="100" w:after="100"/>
        <w:ind w:left="100" w:right="100" w:firstLine="640"/>
        <w:jc w:val="left"/>
        <w:rPr>
          <w:rFonts w:ascii="Times New Roman" w:hAnsi="Times New Roman" w:eastAsia="Times New Roman" w:cs="Times New Roman"/>
          <w:kern w:val="0"/>
          <w:sz w:val="24"/>
        </w:rPr>
      </w:pPr>
    </w:p>
    <w:p w14:paraId="03F5166F">
      <w:pPr>
        <w:pStyle w:val="28"/>
        <w:widowControl/>
        <w:spacing w:before="100" w:after="100"/>
        <w:ind w:left="100" w:right="100" w:firstLine="640"/>
        <w:jc w:val="left"/>
        <w:rPr>
          <w:rFonts w:ascii="Times New Roman" w:hAnsi="Times New Roman" w:eastAsia="Times New Roman" w:cs="Times New Roman"/>
          <w:kern w:val="0"/>
          <w:sz w:val="24"/>
        </w:rPr>
      </w:pPr>
    </w:p>
    <w:p w14:paraId="4B4AEAD9">
      <w:pPr>
        <w:pStyle w:val="28"/>
        <w:widowControl/>
        <w:spacing w:before="100" w:after="100"/>
        <w:ind w:left="100" w:right="100" w:firstLine="640"/>
        <w:jc w:val="left"/>
        <w:rPr>
          <w:rFonts w:ascii="Times New Roman" w:hAnsi="Times New Roman" w:eastAsia="Times New Roman" w:cs="Times New Roman"/>
          <w:kern w:val="0"/>
          <w:sz w:val="24"/>
        </w:rPr>
      </w:pPr>
    </w:p>
    <w:p w14:paraId="4895FEFF">
      <w:pPr>
        <w:pStyle w:val="28"/>
        <w:widowControl/>
        <w:spacing w:before="100" w:after="100"/>
        <w:ind w:left="100" w:right="100" w:firstLine="640"/>
        <w:jc w:val="left"/>
        <w:rPr>
          <w:rFonts w:ascii="Times New Roman" w:hAnsi="Times New Roman" w:eastAsia="Times New Roman" w:cs="Times New Roman"/>
          <w:kern w:val="0"/>
          <w:sz w:val="24"/>
        </w:rPr>
      </w:pPr>
    </w:p>
    <w:p w14:paraId="0B3CDEE2">
      <w:pPr>
        <w:pStyle w:val="28"/>
        <w:widowControl/>
        <w:spacing w:before="100" w:after="100"/>
        <w:ind w:left="100" w:right="100" w:firstLine="640"/>
        <w:jc w:val="left"/>
        <w:rPr>
          <w:rFonts w:ascii="Times New Roman" w:hAnsi="Times New Roman" w:eastAsia="Times New Roman" w:cs="Times New Roman"/>
          <w:kern w:val="0"/>
          <w:sz w:val="24"/>
        </w:rPr>
      </w:pPr>
    </w:p>
    <w:p w14:paraId="56902557">
      <w:pPr>
        <w:pStyle w:val="28"/>
        <w:widowControl/>
        <w:spacing w:before="100" w:after="100"/>
        <w:ind w:left="100" w:right="100" w:firstLine="640"/>
        <w:jc w:val="left"/>
        <w:rPr>
          <w:rFonts w:ascii="Times New Roman" w:hAnsi="Times New Roman" w:eastAsia="Times New Roman" w:cs="Times New Roman"/>
          <w:kern w:val="0"/>
          <w:sz w:val="24"/>
        </w:rPr>
      </w:pPr>
    </w:p>
    <w:p w14:paraId="29007F99">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25" w:name="_Toc256000082"/>
      <w:bookmarkStart w:id="26" w:name="_Toc256000004"/>
      <w:bookmarkStart w:id="27" w:name="_Toc256000136"/>
      <w:bookmarkStart w:id="28" w:name="_Toc256000031"/>
      <w:bookmarkStart w:id="29" w:name="_Toc256000109"/>
      <w:bookmarkStart w:id="30" w:name="_Toc256000058"/>
      <w:r>
        <w:rPr>
          <w:rFonts w:ascii="黑体" w:hAnsi="黑体" w:eastAsia="黑体" w:cs="黑体"/>
          <w:b w:val="0"/>
          <w:bCs w:val="0"/>
          <w:spacing w:val="0"/>
          <w:sz w:val="56"/>
          <w:szCs w:val="56"/>
        </w:rPr>
        <w:t>第二部分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2024年度单位决算表</w:t>
      </w:r>
      <w:bookmarkEnd w:id="25"/>
      <w:bookmarkEnd w:id="26"/>
      <w:bookmarkEnd w:id="27"/>
      <w:bookmarkEnd w:id="28"/>
      <w:bookmarkEnd w:id="29"/>
      <w:bookmarkEnd w:id="30"/>
    </w:p>
    <w:p w14:paraId="5B919B6F">
      <w:pPr>
        <w:sectPr>
          <w:footerReference r:id="rId7" w:type="default"/>
          <w:pgSz w:w="11906" w:h="16838"/>
          <w:pgMar w:top="1440" w:right="720" w:bottom="1440" w:left="720" w:header="720" w:footer="720" w:gutter="0"/>
          <w:cols w:space="720" w:num="1"/>
        </w:sectPr>
      </w:pPr>
    </w:p>
    <w:p w14:paraId="3A217927">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7E41AAD5">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1" w:name="_Toc256000005"/>
      <w:bookmarkStart w:id="32" w:name="_Toc256000137"/>
      <w:bookmarkStart w:id="33" w:name="_Toc256000032"/>
      <w:bookmarkStart w:id="34" w:name="_Toc256000059"/>
      <w:bookmarkStart w:id="35" w:name="_Toc256000083"/>
      <w:bookmarkStart w:id="36" w:name="_Toc256000110"/>
      <w:r>
        <w:rPr>
          <w:rFonts w:ascii="黑体" w:hAnsi="黑体" w:eastAsia="黑体" w:cs="黑体"/>
          <w:b w:val="0"/>
          <w:bCs w:val="0"/>
          <w:spacing w:val="0"/>
        </w:rPr>
        <w:t>一、收入支出决算总表</w:t>
      </w:r>
      <w:bookmarkEnd w:id="31"/>
      <w:bookmarkEnd w:id="32"/>
      <w:bookmarkEnd w:id="33"/>
      <w:bookmarkEnd w:id="34"/>
      <w:bookmarkEnd w:id="35"/>
      <w:bookmarkEnd w:id="36"/>
    </w:p>
    <w:p w14:paraId="6136264C">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3789"/>
        <w:gridCol w:w="3790"/>
        <w:gridCol w:w="3790"/>
        <w:gridCol w:w="3790"/>
      </w:tblGrid>
      <w:tr w14:paraId="612DEBF3">
        <w:tblPrEx>
          <w:tblCellMar>
            <w:top w:w="0" w:type="dxa"/>
            <w:left w:w="108" w:type="dxa"/>
            <w:bottom w:w="0" w:type="dxa"/>
            <w:right w:w="108" w:type="dxa"/>
          </w:tblCellMar>
        </w:tblPrEx>
        <w:trPr>
          <w:cantSplit/>
          <w:tblHeader/>
        </w:trPr>
        <w:tc>
          <w:tcPr>
            <w:tcW w:w="16380" w:type="dxa"/>
            <w:gridSpan w:val="4"/>
            <w:noWrap w:val="0"/>
            <w:tcMar>
              <w:top w:w="20" w:type="dxa"/>
              <w:left w:w="108" w:type="dxa"/>
              <w:bottom w:w="20" w:type="dxa"/>
              <w:right w:w="108" w:type="dxa"/>
            </w:tcMar>
            <w:vAlign w:val="center"/>
          </w:tcPr>
          <w:p w14:paraId="5F3561D1">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收入支出决算总表</w:t>
            </w:r>
          </w:p>
        </w:tc>
      </w:tr>
      <w:tr w14:paraId="143A7A1D">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79227E6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F78EAC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2D8974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公开01表</w:t>
            </w:r>
          </w:p>
        </w:tc>
      </w:tr>
      <w:tr w14:paraId="7943356F">
        <w:tblPrEx>
          <w:tblCellMar>
            <w:top w:w="0" w:type="dxa"/>
            <w:left w:w="108" w:type="dxa"/>
            <w:bottom w:w="0" w:type="dxa"/>
            <w:right w:w="108" w:type="dxa"/>
          </w:tblCellMar>
        </w:tblPrEx>
        <w:trPr>
          <w:cantSplit/>
          <w:tblHeader/>
        </w:trPr>
        <w:tc>
          <w:tcPr>
            <w:tcW w:w="21600" w:type="dxa"/>
            <w:gridSpan w:val="3"/>
            <w:noWrap w:val="0"/>
            <w:tcMar>
              <w:top w:w="20" w:type="dxa"/>
              <w:left w:w="108" w:type="dxa"/>
              <w:bottom w:w="20" w:type="dxa"/>
              <w:right w:w="108" w:type="dxa"/>
            </w:tcMar>
            <w:vAlign w:val="center"/>
          </w:tcPr>
          <w:p w14:paraId="60D9FD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编制单位：莆田市荔城区镇海街道办事处本级</w:t>
            </w:r>
          </w:p>
        </w:tc>
        <w:tc>
          <w:tcPr>
            <w:tcW w:w="21600" w:type="dxa"/>
            <w:noWrap w:val="0"/>
            <w:tcMar>
              <w:top w:w="20" w:type="dxa"/>
              <w:left w:w="108" w:type="dxa"/>
              <w:bottom w:w="20" w:type="dxa"/>
              <w:right w:w="108" w:type="dxa"/>
            </w:tcMar>
            <w:vAlign w:val="center"/>
          </w:tcPr>
          <w:p w14:paraId="591321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6C77C48D">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AFC5F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BF272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0B6645A4">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D0CD8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72413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3B898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项目(按支出功能分类)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5D557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28F06DC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6CCF6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85E9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2,396.11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BB605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A3D9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445.21</w:t>
            </w:r>
          </w:p>
        </w:tc>
      </w:tr>
      <w:tr w14:paraId="19B44B1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15F0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2817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7852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二、外交支出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014B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138626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259F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84A5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A6A47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01B8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48692F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F85D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四、上级补助收入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F40D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6B22C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FA09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r>
      <w:tr w14:paraId="181C737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13C4E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五、事业收入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E5BF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410BE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B3D1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17D86A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F6E6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六、经营收入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1654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9E5F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06BE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76E4D3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EFB4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七、附属单位上缴收入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278C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559B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E6F4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809.33</w:t>
            </w:r>
          </w:p>
        </w:tc>
      </w:tr>
      <w:tr w14:paraId="77355BC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D02B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八、其他收入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870A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17EBB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6852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51.66</w:t>
            </w:r>
          </w:p>
        </w:tc>
      </w:tr>
      <w:tr w14:paraId="18A99AC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E5BA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21C34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2610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579F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r>
      <w:tr w14:paraId="671C6E6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E274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FFB3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1051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296E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5ECF18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FF8F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52A7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CE55B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B8D4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30,656.35</w:t>
            </w:r>
          </w:p>
        </w:tc>
      </w:tr>
      <w:tr w14:paraId="36F6244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23C5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8CD7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E4EC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BEA6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r>
      <w:tr w14:paraId="4FBEC55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1BC2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D1CC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EBB0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BE6F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r>
      <w:tr w14:paraId="035D34D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7D39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B46C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0C1A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57E8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5836A7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0311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1FFF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CF5C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B5C1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8013E4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DB3F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47E01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0532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8FCC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FF593B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E0D8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60053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B7F2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332C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48CD82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DA7E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A55F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3F90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1B1B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5007D5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30636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9F6E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F0A9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0A4F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39.70</w:t>
            </w:r>
          </w:p>
        </w:tc>
      </w:tr>
      <w:tr w14:paraId="434CC9E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EB60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AE01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2542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AB07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AD617F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5665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558F6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6BFB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2C90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DDF9E4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1E0A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7BB7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87F8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BABB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r>
      <w:tr w14:paraId="0484F2C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08F7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9378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76191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3DE8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r>
      <w:tr w14:paraId="03FDE6C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0603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8FD8F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7455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9585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02E423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EFF26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2CB6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614E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3B06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F2500B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2AC83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A6C7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5CC3D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831D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B4B26E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D6B89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146F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35,706.12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107A5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9A5E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35,706.12</w:t>
            </w:r>
          </w:p>
        </w:tc>
      </w:tr>
      <w:tr w14:paraId="2539CEB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3356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使用非财政拨款结余（含专用结余）</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F882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5C2C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结余分配</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FF30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6E37A8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6850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C3AD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3CC5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35BB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B94FD8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D75D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9110B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B58F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7CFD2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1BF8D03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C2504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39B3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35,706.12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E436A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43E7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35,706.12</w:t>
            </w:r>
          </w:p>
        </w:tc>
      </w:tr>
      <w:tr w14:paraId="6092584F">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14:paraId="7CDAA32D">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注：1.本表反映单位本年度的总收支和年末结转结余情况。</w:t>
            </w:r>
          </w:p>
        </w:tc>
      </w:tr>
      <w:tr w14:paraId="097036CC">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14:paraId="469DD774">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2.本套报表金额单位转换时可能存在尾数误差。</w:t>
            </w:r>
          </w:p>
        </w:tc>
      </w:tr>
    </w:tbl>
    <w:p w14:paraId="463CEA9A">
      <w:pPr>
        <w:sectPr>
          <w:footerReference r:id="rId8" w:type="default"/>
          <w:pgSz w:w="16383" w:h="11906" w:orient="landscape"/>
          <w:pgMar w:top="1134" w:right="720" w:bottom="1134" w:left="720" w:header="720" w:footer="720" w:gutter="0"/>
          <w:cols w:space="720" w:num="1"/>
        </w:sectPr>
      </w:pPr>
    </w:p>
    <w:p w14:paraId="07C9C3FD">
      <w:pPr>
        <w:pStyle w:val="28"/>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14:paraId="69B4F9DE">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7" w:name="_Toc256000006"/>
      <w:bookmarkStart w:id="38" w:name="_Toc256000033"/>
      <w:bookmarkStart w:id="39" w:name="_Toc256000084"/>
      <w:bookmarkStart w:id="40" w:name="_Toc256000138"/>
      <w:bookmarkStart w:id="41" w:name="_Toc256000060"/>
      <w:bookmarkStart w:id="42" w:name="_Toc256000111"/>
      <w:r>
        <w:rPr>
          <w:rFonts w:ascii="黑体" w:hAnsi="黑体" w:eastAsia="黑体" w:cs="黑体"/>
          <w:b w:val="0"/>
          <w:bCs w:val="0"/>
          <w:spacing w:val="0"/>
        </w:rPr>
        <w:t>二、收入决算表</w:t>
      </w:r>
      <w:bookmarkEnd w:id="37"/>
      <w:bookmarkEnd w:id="38"/>
      <w:bookmarkEnd w:id="39"/>
      <w:bookmarkEnd w:id="40"/>
      <w:bookmarkEnd w:id="41"/>
      <w:bookmarkEnd w:id="42"/>
    </w:p>
    <w:p w14:paraId="198A5815">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gk02</w:t>
      </w:r>
    </w:p>
    <w:tbl>
      <w:tblPr>
        <w:tblStyle w:val="19"/>
        <w:tblW w:w="5000" w:type="pct"/>
        <w:tblInd w:w="20" w:type="dxa"/>
        <w:tblLayout w:type="fixed"/>
        <w:tblCellMar>
          <w:top w:w="0" w:type="dxa"/>
          <w:left w:w="108" w:type="dxa"/>
          <w:bottom w:w="0" w:type="dxa"/>
          <w:right w:w="108" w:type="dxa"/>
        </w:tblCellMar>
      </w:tblPr>
      <w:tblGrid>
        <w:gridCol w:w="578"/>
        <w:gridCol w:w="578"/>
        <w:gridCol w:w="578"/>
        <w:gridCol w:w="1679"/>
        <w:gridCol w:w="1678"/>
        <w:gridCol w:w="1678"/>
        <w:gridCol w:w="1678"/>
        <w:gridCol w:w="1678"/>
        <w:gridCol w:w="1678"/>
        <w:gridCol w:w="1678"/>
        <w:gridCol w:w="1678"/>
      </w:tblGrid>
      <w:tr w14:paraId="51E98D3C">
        <w:tblPrEx>
          <w:tblCellMar>
            <w:top w:w="0" w:type="dxa"/>
            <w:left w:w="108" w:type="dxa"/>
            <w:bottom w:w="0" w:type="dxa"/>
            <w:right w:w="108" w:type="dxa"/>
          </w:tblCellMar>
        </w:tblPrEx>
        <w:trPr>
          <w:cantSplit/>
          <w:tblHeader/>
        </w:trPr>
        <w:tc>
          <w:tcPr>
            <w:tcW w:w="14578" w:type="dxa"/>
            <w:gridSpan w:val="11"/>
            <w:noWrap w:val="0"/>
            <w:tcMar>
              <w:top w:w="20" w:type="dxa"/>
              <w:left w:w="108" w:type="dxa"/>
              <w:bottom w:w="20" w:type="dxa"/>
              <w:right w:w="108" w:type="dxa"/>
            </w:tcMar>
            <w:vAlign w:val="center"/>
          </w:tcPr>
          <w:p w14:paraId="1CB56086">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收入决算表</w:t>
            </w:r>
          </w:p>
        </w:tc>
      </w:tr>
      <w:tr w14:paraId="488CBDB3">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6212286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53FD680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CFA47F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022593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F2BD49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CCFCFD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A8CE86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E37723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9DC4CD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68434B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公开02表</w:t>
            </w:r>
          </w:p>
        </w:tc>
      </w:tr>
      <w:tr w14:paraId="1CD4C646">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143E4F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编制单位：莆田市荔城区镇海街道办事处本级</w:t>
            </w:r>
          </w:p>
        </w:tc>
        <w:tc>
          <w:tcPr>
            <w:tcW w:w="21600" w:type="dxa"/>
            <w:noWrap w:val="0"/>
            <w:tcMar>
              <w:top w:w="20" w:type="dxa"/>
              <w:left w:w="108" w:type="dxa"/>
              <w:bottom w:w="20" w:type="dxa"/>
              <w:right w:w="108" w:type="dxa"/>
            </w:tcMar>
            <w:vAlign w:val="bottom"/>
          </w:tcPr>
          <w:p w14:paraId="3B886F0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D5D7E4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528BC2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4E635B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015A8F6C">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1463A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484C4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4548B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财政拨款收入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C8716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上级补助收入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64D93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D021B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2C343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附属单位上缴收入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1AF4D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其他收入</w:t>
            </w:r>
          </w:p>
        </w:tc>
      </w:tr>
      <w:tr w14:paraId="06678772">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6C206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07466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B6B53B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CE7BB2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7AA33A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668F9C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E07BBE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A7B206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F840A37">
            <w:pPr>
              <w:rPr>
                <w:rFonts w:ascii="Times New Roman" w:hAnsi="Times New Roman" w:eastAsia="Times New Roman" w:cs="Times New Roman"/>
                <w:b w:val="0"/>
                <w:bCs w:val="0"/>
                <w:i w:val="0"/>
                <w:iCs w:val="0"/>
                <w:smallCaps w:val="0"/>
                <w:color w:val="000000"/>
                <w:kern w:val="0"/>
                <w:sz w:val="26"/>
                <w:szCs w:val="26"/>
              </w:rPr>
            </w:pPr>
          </w:p>
        </w:tc>
      </w:tr>
      <w:tr w14:paraId="412BC76B">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2AB007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85BFE1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B95DAD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F6000C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6579CC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064991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243BE0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32C3BD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0FA32D8">
            <w:pPr>
              <w:rPr>
                <w:rFonts w:ascii="Times New Roman" w:hAnsi="Times New Roman" w:eastAsia="Times New Roman" w:cs="Times New Roman"/>
                <w:b w:val="0"/>
                <w:bCs w:val="0"/>
                <w:i w:val="0"/>
                <w:iCs w:val="0"/>
                <w:smallCaps w:val="0"/>
                <w:color w:val="000000"/>
                <w:kern w:val="0"/>
                <w:sz w:val="26"/>
                <w:szCs w:val="26"/>
              </w:rPr>
            </w:pPr>
          </w:p>
        </w:tc>
      </w:tr>
      <w:tr w14:paraId="7F932035">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2637D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D7B71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EA3D9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B3F7D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EFD8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35,706.12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B6FE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35,706.12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BF3B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DB6A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0868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8253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E2FA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B00DBB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22FE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7AB8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66B0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445.21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C4E8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445.21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3643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9292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096A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24E5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12B7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5FFF663">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5294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BA7F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ADF6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435.21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F76B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435.21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2344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EFEB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B8F32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3250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0349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8B36C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4DE4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925E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B5A3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5596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33D8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4F99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30BB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0BB7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3E27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7A32E88">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6A4B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AF94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其他政府办公厅（室）及相关机构事务支出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F7A5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128.36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6A0F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128.36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8BF2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DC28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5A60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4A55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EFF6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B6C026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ECBF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1C234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党委办公厅（室）及相关机构事务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CBD3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968B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9F55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7A4D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7050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66DF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AE38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905120D">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6204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AC0A7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其他党委办公厅（室）及相关机构事务支出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A8E0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79E2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1794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3DE9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125B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E579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B5E9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86DF8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FE712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4246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7C1A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2988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9F28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F539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AA5B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568B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7DE6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7303EC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B32B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DEFA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国家安全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E499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D69C3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0319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D9A2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FFF1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59A7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194E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0621A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FFE3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817B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其他国家安全支出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7F7D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3D1B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3F00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56E2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D703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4E9A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3700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727768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0FBF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A4F4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E1B5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3CF6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8408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1E65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615A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FD68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5264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529FF42">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4C72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01CF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体育</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832C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7931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A23C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2B93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9D4C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95E5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EAD4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638F09A">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BC83C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845DE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体育竞赛</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847A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5721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4BDA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EFD1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9A9D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C2FB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4493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B1801D6">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F8D03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8362C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2473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E409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D6D1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2580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20CC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5283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244F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D603F82">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DD19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781C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451C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91B8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3E28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49E8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0520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3BD7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E921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5F13763">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5E3E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616B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EB6A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7FDA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66E1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6B81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3AFC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A21B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BF5B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818919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8943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3289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人力资源和社会保障管理事务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F21D2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5E50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9B07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8A74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6AEB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3F56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89EA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40117A">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6453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BBF2F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其他人力资源和社会保障管理事务支出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0106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442F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5C34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7C62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BE66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8E58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0D3C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2EE27E2">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3D85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AFDC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C249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B3B7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2479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4366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F0C4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D37F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000F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2CFC503">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9560C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E8998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行政单位离退休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E395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9560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B69C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0761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0442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5230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8403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7EB49E8">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8A95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29B7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AA32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64E3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47AB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2266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07E4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5277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0821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5B54D6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6F9E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77E0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ED2E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7E0E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0124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F5DC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CD6D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54AB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C307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E125BD4">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95C0B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FC71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626B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45D2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DFBC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5208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F457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6640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C098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F531796">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62ED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B852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D5BC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D14D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7C55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2838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DA57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B474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5BD7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B8D458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BB8D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9F0A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9B72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30,656.35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93C0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30,656.35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03A3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55F8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2DE9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9972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A44A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0336B6D">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1E76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875C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FF81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65.34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C02D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65.34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7486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11E4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ECD5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3678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429F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C67C05E">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473D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E2A2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其他城乡社区管理事务支出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5278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65.34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FA80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65.34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621F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FC59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5872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0D92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C651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E3AED18">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9476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DD2E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国有土地使用权出让收入安排的支出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3957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8EAE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4227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69CC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C19B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5E98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D599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5C26A8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04D7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C1641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征地和拆迁补偿支出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E7A3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0CF7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57B8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E3FA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7EB8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10DF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7A2E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187268C">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7570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BD6F8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3FC3F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467.00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7565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467.00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5A2B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B5D1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A439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7E06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D99A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07E802E">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9762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D880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76E2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467.00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CA6B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467.00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D23A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9C55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1B80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A755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63EA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AD3C48C">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C0C3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E6B6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5056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9DBA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CA9E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63DB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7724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0D73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CA6B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60A2286">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CD60F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F31D6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农村综合改革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2F9E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A74E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61F1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056F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C9BA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468A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35DB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DB9ADF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B116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0114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对村民委员会和村党支部的补助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06AC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BB77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9D00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4E0F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FB67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FCB4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2403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8B1622E">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1CE1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643C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7276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5A08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694A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9A35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C8AF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80AF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376C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12C55F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FB81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408E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公路水路运输</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93F3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0981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5F41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EA94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436E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4BF8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1AF6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9A7578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D39D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2140112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486B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公路运输管理</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9FA3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8E57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C13B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02BA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FED9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E457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6369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C80C102">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1C8B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3824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A989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175C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7DF0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7516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A443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A190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56FF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0C53DDA">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8A10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1CA8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43A5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36CA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0B2D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92AB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4DDA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8A35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8733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F8E5266">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9D28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2E97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3048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177C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633A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19B8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BEB8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E4AB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B4A9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1C4439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409A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4A01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EA2F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9855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C498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8195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8DEC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4D1C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8A75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19841F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9A10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60CAF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消防救援事务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55DF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AD6E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27CC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7B9A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EEEE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D7CE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8536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55B58AA">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63A5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6AF8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其他消防救援事务支出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814C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8528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3FE3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8152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F997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00BF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F8FB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07F261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5D2A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9CA9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79BF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AFFC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3155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D43B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390C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B68C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572B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7339C7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72E6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4FB6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其他政府性基金及对应专项债务收入安排的支出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D238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6B98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559A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47C5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195D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AE0E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E9FF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A0B0D0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2F7F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2290402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3C3A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其他地方自行试点项目收益专项债券收入安排的支出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B3EE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96DF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B867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851C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4C4D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B9E3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D108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66981BE">
        <w:tblPrEx>
          <w:tblCellMar>
            <w:top w:w="0" w:type="dxa"/>
            <w:left w:w="108" w:type="dxa"/>
            <w:bottom w:w="0" w:type="dxa"/>
            <w:right w:w="108" w:type="dxa"/>
          </w:tblCellMar>
        </w:tblPrEx>
        <w:trPr>
          <w:cantSplit/>
        </w:trPr>
        <w:tc>
          <w:tcPr>
            <w:tcW w:w="14578" w:type="dxa"/>
            <w:gridSpan w:val="11"/>
            <w:noWrap w:val="0"/>
            <w:tcMar>
              <w:top w:w="20" w:type="dxa"/>
              <w:left w:w="108" w:type="dxa"/>
              <w:bottom w:w="20" w:type="dxa"/>
              <w:right w:w="108" w:type="dxa"/>
            </w:tcMar>
            <w:vAlign w:val="center"/>
          </w:tcPr>
          <w:p w14:paraId="7DFC8D56">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注：本表反映单位本年度取得的各项收入情况。</w:t>
            </w:r>
          </w:p>
        </w:tc>
      </w:tr>
    </w:tbl>
    <w:p w14:paraId="7BDA1581">
      <w:pPr>
        <w:sectPr>
          <w:footerReference r:id="rId9" w:type="default"/>
          <w:pgSz w:w="16383" w:h="11906" w:orient="landscape"/>
          <w:pgMar w:top="1134" w:right="720" w:bottom="1134" w:left="720" w:header="720" w:footer="720" w:gutter="0"/>
          <w:cols w:space="720" w:num="1"/>
        </w:sectPr>
      </w:pPr>
    </w:p>
    <w:p w14:paraId="1AE0E1D0">
      <w:pPr>
        <w:pStyle w:val="28"/>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14:paraId="35A47F76">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3" w:name="_Toc256000007"/>
      <w:bookmarkStart w:id="44" w:name="_Toc256000085"/>
      <w:bookmarkStart w:id="45" w:name="_Toc256000139"/>
      <w:bookmarkStart w:id="46" w:name="_Toc256000112"/>
      <w:bookmarkStart w:id="47" w:name="_Toc256000034"/>
      <w:bookmarkStart w:id="48" w:name="_Toc256000061"/>
      <w:r>
        <w:rPr>
          <w:rFonts w:ascii="黑体" w:hAnsi="黑体" w:eastAsia="黑体" w:cs="黑体"/>
          <w:b w:val="0"/>
          <w:bCs w:val="0"/>
          <w:spacing w:val="0"/>
        </w:rPr>
        <w:t>三、支出决算表</w:t>
      </w:r>
      <w:bookmarkEnd w:id="43"/>
      <w:bookmarkEnd w:id="44"/>
      <w:bookmarkEnd w:id="45"/>
      <w:bookmarkEnd w:id="46"/>
      <w:bookmarkEnd w:id="47"/>
      <w:bookmarkEnd w:id="48"/>
    </w:p>
    <w:p w14:paraId="6705A210">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gk03</w:t>
      </w:r>
    </w:p>
    <w:tbl>
      <w:tblPr>
        <w:tblStyle w:val="19"/>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7A9DAC41">
        <w:tblPrEx>
          <w:tblCellMar>
            <w:top w:w="0" w:type="dxa"/>
            <w:left w:w="108" w:type="dxa"/>
            <w:bottom w:w="0" w:type="dxa"/>
            <w:right w:w="108" w:type="dxa"/>
          </w:tblCellMar>
        </w:tblPrEx>
        <w:trPr>
          <w:cantSplit/>
          <w:tblHeader/>
        </w:trPr>
        <w:tc>
          <w:tcPr>
            <w:tcW w:w="14578" w:type="dxa"/>
            <w:gridSpan w:val="10"/>
            <w:noWrap w:val="0"/>
            <w:tcMar>
              <w:top w:w="20" w:type="dxa"/>
              <w:left w:w="108" w:type="dxa"/>
              <w:bottom w:w="20" w:type="dxa"/>
              <w:right w:w="108" w:type="dxa"/>
            </w:tcMar>
            <w:vAlign w:val="center"/>
          </w:tcPr>
          <w:p w14:paraId="576E0614">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支出决算表</w:t>
            </w:r>
          </w:p>
        </w:tc>
      </w:tr>
      <w:tr w14:paraId="01E77509">
        <w:tblPrEx>
          <w:tblCellMar>
            <w:top w:w="0" w:type="dxa"/>
            <w:left w:w="108" w:type="dxa"/>
            <w:bottom w:w="0" w:type="dxa"/>
            <w:right w:w="108" w:type="dxa"/>
          </w:tblCellMar>
        </w:tblPrEx>
        <w:trPr>
          <w:cantSplit/>
          <w:tblHeader/>
        </w:trPr>
        <w:tc>
          <w:tcPr>
            <w:tcW w:w="5280" w:type="dxa"/>
            <w:gridSpan w:val="4"/>
            <w:noWrap w:val="0"/>
            <w:tcMar>
              <w:top w:w="20" w:type="dxa"/>
              <w:left w:w="108" w:type="dxa"/>
              <w:bottom w:w="20" w:type="dxa"/>
              <w:right w:w="108" w:type="dxa"/>
            </w:tcMar>
            <w:vAlign w:val="bottom"/>
          </w:tcPr>
          <w:p w14:paraId="2DA4499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693D35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63458A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4172F8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29BF06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1AC5FA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公开03表</w:t>
            </w:r>
          </w:p>
        </w:tc>
      </w:tr>
      <w:tr w14:paraId="04FB4E2E">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6AB40E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编制单位：莆田市荔城区镇海街道办事处本级</w:t>
            </w:r>
          </w:p>
        </w:tc>
        <w:tc>
          <w:tcPr>
            <w:tcW w:w="21600" w:type="dxa"/>
            <w:noWrap w:val="0"/>
            <w:tcMar>
              <w:top w:w="20" w:type="dxa"/>
              <w:left w:w="108" w:type="dxa"/>
              <w:bottom w:w="20" w:type="dxa"/>
              <w:right w:w="108" w:type="dxa"/>
            </w:tcMar>
            <w:vAlign w:val="bottom"/>
          </w:tcPr>
          <w:p w14:paraId="00D75B3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4185B7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034C0DA2">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4999B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0EEB0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9D126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1BE0F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61077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上缴上级支出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120D5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1DF42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对附属单位补助支出</w:t>
            </w:r>
          </w:p>
        </w:tc>
      </w:tr>
      <w:tr w14:paraId="139CD989">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8329D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8C31C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684EBA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28AAF4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D1A129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608657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FE0A76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E671DE4">
            <w:pPr>
              <w:rPr>
                <w:rFonts w:ascii="Times New Roman" w:hAnsi="Times New Roman" w:eastAsia="Times New Roman" w:cs="Times New Roman"/>
                <w:b w:val="0"/>
                <w:bCs w:val="0"/>
                <w:i w:val="0"/>
                <w:iCs w:val="0"/>
                <w:smallCaps w:val="0"/>
                <w:color w:val="000000"/>
                <w:kern w:val="0"/>
                <w:sz w:val="26"/>
                <w:szCs w:val="26"/>
              </w:rPr>
            </w:pPr>
          </w:p>
        </w:tc>
      </w:tr>
      <w:tr w14:paraId="5C01C85E">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F296E1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C568D9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F2374C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E85353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4210A7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24104F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859F35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762D5A3">
            <w:pPr>
              <w:rPr>
                <w:rFonts w:ascii="Times New Roman" w:hAnsi="Times New Roman" w:eastAsia="Times New Roman" w:cs="Times New Roman"/>
                <w:b w:val="0"/>
                <w:bCs w:val="0"/>
                <w:i w:val="0"/>
                <w:iCs w:val="0"/>
                <w:smallCaps w:val="0"/>
                <w:color w:val="000000"/>
                <w:kern w:val="0"/>
                <w:sz w:val="26"/>
                <w:szCs w:val="26"/>
              </w:rPr>
            </w:pPr>
          </w:p>
        </w:tc>
      </w:tr>
      <w:tr w14:paraId="5B726133">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714F1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AD058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EE8E4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F70D5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C594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35,706.12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0F5D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551.72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D541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35,154.40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7722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45D9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13CC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638991B">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E139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7520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FAAB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445.21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03C4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435.21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D08C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2EF1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DAD0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3A7A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112297">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A0BA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67E4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944C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435.21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0C21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435.21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8FBC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177A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6F3E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1F57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CB1D7D4">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8BA8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8C74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9299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065D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B817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31CC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E949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6638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52A2909">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96CB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AA15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其他政府办公厅（室）及相关机构事务支出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5EC8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128.36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5B8C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128.36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7F36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9CD8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3530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1B5C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F3AD78C">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B3E1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7D31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党委办公厅（室）及相关机构事务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7E90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AA4C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E1BE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BBA0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B65C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A0FA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D1EDB34">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D706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544FB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其他党委办公厅（室）及相关机构事务支出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FA03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E18C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39D1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2137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BDE4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3F01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76C541">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244B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2D788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3C62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307D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88AF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4BC8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3DB3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0818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F5F2973">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1437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7F240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国家安全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A948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FD65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4516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EAAB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F434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911A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C4C5AAA">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11D3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1E05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其他国家安全支出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6ABF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34FB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EC8A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C0FE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2FFC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48B8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EAD3881">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130C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DCA2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3038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BE5A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2E6C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0A7B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E8DD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EB94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F45CA41">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5730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72BE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体育</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B9A7F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8EB7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E95E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EE09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439D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E34A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27A0863">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3818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452A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体育竞赛</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5311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6CAA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46C3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1CE5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F069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C792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8E490FE">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5E7A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CDE6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7432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5208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902F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0ECF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9E7C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63DA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357E5C1">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90BC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FDB4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DAE6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F83B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AC0F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650C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9948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65E6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571221F">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4DC24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35CA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C55C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D12C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4E86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386D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519A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C732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729BB14">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C39A4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066A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人力资源和社会保障管理事务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E364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20E1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5BE3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4445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A58F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006F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4291815">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BEEB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76D1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其他人力资源和社会保障管理事务支出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E954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7C2D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CB1A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341D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3684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AAA7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6BCC104">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E278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CA933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059C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EFB5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95FF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1955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48A1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310F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BE7A841">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9C01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ED0B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行政单位离退休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9E3E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DD68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0E6A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8249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4261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FEF6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9B67EB1">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D91B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C3C5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DA97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779D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F57C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3CF7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10E0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FD47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D59AE08">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CA41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A281F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FD9B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C2AF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8230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502A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C026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EF2D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778DEF7">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2311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F6EFE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DB87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CD38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C08C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978B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69CF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BC3C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97689D7">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AA62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3B07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803B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0840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1B0A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7733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4154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6999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51AC099">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9A69F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BA54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534D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30,656.35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7AE8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CB33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30,656.35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61A0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14CF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11FE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B461AF0">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676D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EEDB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765D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65.34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FF2B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757F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65.34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5782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7971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E52F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9C7DD8A">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4841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46AE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其他城乡社区管理事务支出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DA98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65.34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90D2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DA44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65.34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EDD1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BCB2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EA21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AAD401F">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1118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671F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国有土地使用权出让收入安排的支出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71BC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027A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F69D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06F1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145E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2376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81431C">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BE4C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8804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征地和拆迁补偿支出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A329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73F8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668A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012A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65E3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501A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8A2346E">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67F9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8A49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746A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467.00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E5B4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BAB6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467.00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EBD5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63BD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9833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551853F">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A60D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E8C4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9705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467.00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8468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D3AF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467.00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0639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02E6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79F3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9D00EDD">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67E1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245C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34D8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14DE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5201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6285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3678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F9B4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2CE7FAD">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D609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E0FD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农村综合改革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54A2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874A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901F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33FE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C4F8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8193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4CA0111">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ADC0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5437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对村民委员会和村党支部的补助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D18A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ACCF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D251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3D25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59E5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F7C9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3792562">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C58B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B88E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0E21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B0C6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10E7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FEBC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1A25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6146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12EE5F6">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3A0FF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B8F7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公路水路运输</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FA95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0A23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F197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BD5A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C273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2B08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D3BA066">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4CD3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2140112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72E0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公路运输管理</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AE41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509A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C3E6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1DEB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8D15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4E80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3A701E">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7467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1F849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6321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2E33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10A7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C5B9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6981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6B2F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283C25C">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B938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7567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6FDB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8BEB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C38D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9F42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9801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DF6F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5C4F738">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92FE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D1AB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B616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E932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D2EC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7482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A4A6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25C4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5A21B3">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AC24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F430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7484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FCAA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DFC0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E461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49A1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C166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FF0BAFF">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FA85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488D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消防救援事务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EBCA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D308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FD83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6A16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0FD1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0619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8BFD7C7">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53EAE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0E54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其他消防救援事务支出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1FB7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5394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2670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979E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4E76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2F24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E2D1F9E">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8B96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77AB7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D905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C0A8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DBCF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757D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4A85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0E02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F86B7F8">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359D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5F48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其他政府性基金及对应专项债务收入安排的支出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32BC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08F7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AC6C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382E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7B91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0199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25EA001">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193D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2290402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C416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其他地方自行试点项目收益专项债券收入安排的支出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4B96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8C88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6808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AB49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78BB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57C7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432ADBE">
        <w:tblPrEx>
          <w:tblCellMar>
            <w:top w:w="0" w:type="dxa"/>
            <w:left w:w="108" w:type="dxa"/>
            <w:bottom w:w="0" w:type="dxa"/>
            <w:right w:w="108" w:type="dxa"/>
          </w:tblCellMar>
        </w:tblPrEx>
        <w:trPr>
          <w:cantSplit/>
          <w:tblHeader/>
        </w:trPr>
        <w:tc>
          <w:tcPr>
            <w:tcW w:w="14578" w:type="dxa"/>
            <w:gridSpan w:val="10"/>
            <w:noWrap w:val="0"/>
            <w:tcMar>
              <w:top w:w="20" w:type="dxa"/>
              <w:left w:w="108" w:type="dxa"/>
              <w:bottom w:w="20" w:type="dxa"/>
              <w:right w:w="108" w:type="dxa"/>
            </w:tcMar>
            <w:vAlign w:val="center"/>
          </w:tcPr>
          <w:p w14:paraId="7D0BEA35">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注：本表反映单位本年度各项支出情况。</w:t>
            </w:r>
          </w:p>
        </w:tc>
      </w:tr>
    </w:tbl>
    <w:p w14:paraId="49034AEF">
      <w:pPr>
        <w:sectPr>
          <w:footerReference r:id="rId10" w:type="default"/>
          <w:pgSz w:w="16383" w:h="11906" w:orient="landscape"/>
          <w:pgMar w:top="1134" w:right="720" w:bottom="1134" w:left="720" w:header="720" w:footer="720" w:gutter="0"/>
          <w:cols w:space="720" w:num="1"/>
        </w:sectPr>
      </w:pPr>
    </w:p>
    <w:p w14:paraId="6381A2CA">
      <w:pPr>
        <w:pStyle w:val="28"/>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14:paraId="0783AB61">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9" w:name="_Toc256000113"/>
      <w:bookmarkStart w:id="50" w:name="_Toc256000086"/>
      <w:bookmarkStart w:id="51" w:name="_Toc256000035"/>
      <w:bookmarkStart w:id="52" w:name="_Toc256000008"/>
      <w:bookmarkStart w:id="53" w:name="_Toc256000062"/>
      <w:bookmarkStart w:id="54" w:name="_Toc256000140"/>
      <w:r>
        <w:rPr>
          <w:rFonts w:ascii="黑体" w:hAnsi="黑体" w:eastAsia="黑体" w:cs="黑体"/>
          <w:b w:val="0"/>
          <w:bCs w:val="0"/>
          <w:spacing w:val="0"/>
        </w:rPr>
        <w:t>四、财政拨款收入支出决算总表</w:t>
      </w:r>
      <w:bookmarkEnd w:id="49"/>
      <w:bookmarkEnd w:id="50"/>
      <w:bookmarkEnd w:id="51"/>
      <w:bookmarkEnd w:id="52"/>
      <w:bookmarkEnd w:id="53"/>
      <w:bookmarkEnd w:id="54"/>
    </w:p>
    <w:p w14:paraId="54CB9E0D">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2165"/>
        <w:gridCol w:w="2165"/>
        <w:gridCol w:w="2165"/>
        <w:gridCol w:w="2166"/>
        <w:gridCol w:w="2166"/>
        <w:gridCol w:w="2166"/>
        <w:gridCol w:w="2166"/>
      </w:tblGrid>
      <w:tr w14:paraId="2285A4F8">
        <w:tblPrEx>
          <w:tblCellMar>
            <w:top w:w="0" w:type="dxa"/>
            <w:left w:w="108" w:type="dxa"/>
            <w:bottom w:w="0" w:type="dxa"/>
            <w:right w:w="108" w:type="dxa"/>
          </w:tblCellMar>
        </w:tblPrEx>
        <w:trPr>
          <w:cantSplit/>
          <w:tblHeader/>
        </w:trPr>
        <w:tc>
          <w:tcPr>
            <w:tcW w:w="16381" w:type="dxa"/>
            <w:gridSpan w:val="7"/>
            <w:noWrap w:val="0"/>
            <w:tcMar>
              <w:top w:w="20" w:type="dxa"/>
              <w:left w:w="108" w:type="dxa"/>
              <w:bottom w:w="20" w:type="dxa"/>
              <w:right w:w="108" w:type="dxa"/>
            </w:tcMar>
            <w:vAlign w:val="center"/>
          </w:tcPr>
          <w:p w14:paraId="0DA86FE6">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财政拨款收入支出决算总表</w:t>
            </w:r>
          </w:p>
        </w:tc>
      </w:tr>
      <w:tr w14:paraId="74CC3926">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14:paraId="604B8A1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63A1EC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279C1E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公开04表</w:t>
            </w:r>
          </w:p>
        </w:tc>
      </w:tr>
      <w:tr w14:paraId="2E9FA2F9">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14:paraId="628F59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编制单位：莆田市荔城区镇海街道办事处本级</w:t>
            </w:r>
          </w:p>
        </w:tc>
        <w:tc>
          <w:tcPr>
            <w:tcW w:w="21600" w:type="dxa"/>
            <w:noWrap w:val="0"/>
            <w:tcMar>
              <w:top w:w="20" w:type="dxa"/>
              <w:left w:w="108" w:type="dxa"/>
              <w:bottom w:w="20" w:type="dxa"/>
              <w:right w:w="108" w:type="dxa"/>
            </w:tcMar>
            <w:vAlign w:val="bottom"/>
          </w:tcPr>
          <w:p w14:paraId="235A973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3B0F85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43445FF0">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54AF2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A0265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0688F7A2">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A780C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项目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1F331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EC205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E5F8F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A7A49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74889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A1957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国有资本经营预算财政拨款</w:t>
            </w:r>
          </w:p>
        </w:tc>
      </w:tr>
      <w:tr w14:paraId="5A52950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9655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一、一般公共预算财政拨款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7764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2,396.11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C863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750F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445.21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9CF9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445.21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320E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B0C7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2BE591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9C433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9AAB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9DC5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二、外交支出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DE40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B6D1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A6E6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B501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CA241B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1FCC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BFDF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E09A0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D139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08ED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13E7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2020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DAEE0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7021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3E1D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01BC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52A9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5734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8079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E6C9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7C1CD2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C53F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D4C7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896B0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FB79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4BD7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877F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93DB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E6EB42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F8EA5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D9E7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5B3C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797A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0374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3522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06D9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058DB7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A150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EF7A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93BB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D9B1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AC5B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6E7F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F089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A55081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D795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7D9E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0C8E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D17E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86B1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6808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A7C3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F485D9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B978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ECA1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BD88D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524D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7AA6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1BB2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0F3E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FBF152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D7F1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385EB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78DA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1E4E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2305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6CD7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AE60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9E71E1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0763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A31B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EC4F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6D3E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30,656.35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A206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532.34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2178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22CA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BE04A4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FCD68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CEE20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8BED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71C0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5EF3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764F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07B3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8D8359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A29D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466E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B990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D42D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212F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CB81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14A8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5F8B3C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93BA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32ED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56D1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EDDB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2135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B28B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182D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7A499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EC8E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01F16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3543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19C1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8C55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C5C6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28F0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37E200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D408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130D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66384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981B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32CD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74F3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E058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0DB482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A3A7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B830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1848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34FC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9B3E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B801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2CA7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DE9427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1CBF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662D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C4DAB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632C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0C4A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B8BE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B3AB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C90085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B027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E6F84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5F33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6F28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84CE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7321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8A27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16DD75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9007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4B36B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BA6F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A7E8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1F10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8FA5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822B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4F4F5A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26D6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BC3D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0B0DF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52AE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3AD6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83C5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953E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6F48E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FA6A7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E2F2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4F2A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214B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3765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5069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CF23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6EAC91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D496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36A9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D7B02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4C8F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4C82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8A8F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8A2D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B66B6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1808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E091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515C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962F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7AD9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CD05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278D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3019F5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0A0F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05D3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0E33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E170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C202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09CF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C6F6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AB210C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703C7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73119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E2E07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6BB6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5599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18EA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DE2D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EDA499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4E07F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38E7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35,706.12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0EA23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E93A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35,706.12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FB25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2,396.11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918A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6E0F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E89B68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A450F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9126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D3A8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1606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F5D5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791E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9E56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CD06CF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9156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F926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EBD7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5C1A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C15A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D0D5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817A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279D4D0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4ABF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DFCF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A2826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9AE2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B5B3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B2DF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5621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0074CFD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0882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72C4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4068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8EB4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A050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9D60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0DD9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471584B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644E3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B701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35,706.12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79454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4350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35,706.12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327D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2,396.11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AB7D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1A2D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967B758">
        <w:tblPrEx>
          <w:tblCellMar>
            <w:top w:w="0" w:type="dxa"/>
            <w:left w:w="108" w:type="dxa"/>
            <w:bottom w:w="0" w:type="dxa"/>
            <w:right w:w="108" w:type="dxa"/>
          </w:tblCellMar>
        </w:tblPrEx>
        <w:trPr>
          <w:cantSplit/>
        </w:trPr>
        <w:tc>
          <w:tcPr>
            <w:tcW w:w="16381" w:type="dxa"/>
            <w:gridSpan w:val="7"/>
            <w:noWrap w:val="0"/>
            <w:tcMar>
              <w:top w:w="20" w:type="dxa"/>
              <w:left w:w="108" w:type="dxa"/>
              <w:bottom w:w="20" w:type="dxa"/>
              <w:right w:w="108" w:type="dxa"/>
            </w:tcMar>
            <w:vAlign w:val="center"/>
          </w:tcPr>
          <w:p w14:paraId="389D11BA">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注：本表反映单位本年度一般公共预算财政拨款、政府性基金预算财政拨款和国有资本经营预算财政拨款的总收支和年末结转结余情况。</w:t>
            </w:r>
          </w:p>
        </w:tc>
      </w:tr>
    </w:tbl>
    <w:p w14:paraId="5431408B">
      <w:pPr>
        <w:sectPr>
          <w:footerReference r:id="rId11" w:type="default"/>
          <w:pgSz w:w="16383" w:h="11906" w:orient="landscape"/>
          <w:pgMar w:top="1134" w:right="720" w:bottom="1134" w:left="720" w:header="720" w:footer="720" w:gutter="0"/>
          <w:cols w:space="720" w:num="1"/>
        </w:sectPr>
      </w:pPr>
    </w:p>
    <w:p w14:paraId="1FAF4E06">
      <w:pPr>
        <w:pStyle w:val="28"/>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14:paraId="4B0A71CE">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55" w:name="_Toc256000036"/>
      <w:bookmarkStart w:id="56" w:name="_Toc256000063"/>
      <w:bookmarkStart w:id="57" w:name="_Toc256000009"/>
      <w:bookmarkStart w:id="58" w:name="_Toc256000141"/>
      <w:bookmarkStart w:id="59" w:name="_Toc256000114"/>
      <w:bookmarkStart w:id="60" w:name="_Toc256000087"/>
      <w:r>
        <w:rPr>
          <w:rFonts w:ascii="黑体" w:hAnsi="黑体" w:eastAsia="黑体" w:cs="黑体"/>
          <w:b w:val="0"/>
          <w:bCs w:val="0"/>
          <w:spacing w:val="0"/>
        </w:rPr>
        <w:t>五、一般公共预算财政拨款支出决算表</w:t>
      </w:r>
      <w:bookmarkEnd w:id="55"/>
      <w:bookmarkEnd w:id="56"/>
      <w:bookmarkEnd w:id="57"/>
      <w:bookmarkEnd w:id="58"/>
      <w:bookmarkEnd w:id="59"/>
      <w:bookmarkEnd w:id="60"/>
    </w:p>
    <w:p w14:paraId="1AEB8E1D">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gk05</w:t>
      </w:r>
    </w:p>
    <w:tbl>
      <w:tblPr>
        <w:tblStyle w:val="19"/>
        <w:tblW w:w="5000" w:type="pct"/>
        <w:tblInd w:w="20" w:type="dxa"/>
        <w:tblLayout w:type="fixed"/>
        <w:tblCellMar>
          <w:top w:w="0" w:type="dxa"/>
          <w:left w:w="108" w:type="dxa"/>
          <w:bottom w:w="0" w:type="dxa"/>
          <w:right w:w="108" w:type="dxa"/>
        </w:tblCellMar>
      </w:tblPr>
      <w:tblGrid>
        <w:gridCol w:w="1740"/>
        <w:gridCol w:w="3354"/>
        <w:gridCol w:w="3355"/>
        <w:gridCol w:w="3355"/>
        <w:gridCol w:w="3355"/>
      </w:tblGrid>
      <w:tr w14:paraId="2F61B99E">
        <w:tblPrEx>
          <w:tblCellMar>
            <w:top w:w="0" w:type="dxa"/>
            <w:left w:w="108" w:type="dxa"/>
            <w:bottom w:w="0" w:type="dxa"/>
            <w:right w:w="108" w:type="dxa"/>
          </w:tblCellMar>
        </w:tblPrEx>
        <w:trPr>
          <w:cantSplit/>
          <w:tblHeader/>
        </w:trPr>
        <w:tc>
          <w:tcPr>
            <w:tcW w:w="16380" w:type="dxa"/>
            <w:gridSpan w:val="5"/>
            <w:noWrap w:val="0"/>
            <w:tcMar>
              <w:top w:w="20" w:type="dxa"/>
              <w:left w:w="108" w:type="dxa"/>
              <w:bottom w:w="20" w:type="dxa"/>
              <w:right w:w="108" w:type="dxa"/>
            </w:tcMar>
            <w:vAlign w:val="center"/>
          </w:tcPr>
          <w:p w14:paraId="59967764">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一般公共预算财政拨款支出决算表</w:t>
            </w:r>
          </w:p>
        </w:tc>
      </w:tr>
      <w:tr w14:paraId="345A2040">
        <w:tblPrEx>
          <w:tblCellMar>
            <w:top w:w="0" w:type="dxa"/>
            <w:left w:w="108" w:type="dxa"/>
            <w:bottom w:w="0" w:type="dxa"/>
            <w:right w:w="108" w:type="dxa"/>
          </w:tblCellMar>
        </w:tblPrEx>
        <w:trPr>
          <w:cantSplit/>
          <w:tblHeader/>
        </w:trPr>
        <w:tc>
          <w:tcPr>
            <w:tcW w:w="10530" w:type="dxa"/>
            <w:gridSpan w:val="2"/>
            <w:noWrap w:val="0"/>
            <w:tcMar>
              <w:top w:w="20" w:type="dxa"/>
              <w:left w:w="108" w:type="dxa"/>
              <w:bottom w:w="20" w:type="dxa"/>
              <w:right w:w="108" w:type="dxa"/>
            </w:tcMar>
            <w:vAlign w:val="bottom"/>
          </w:tcPr>
          <w:p w14:paraId="660684A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7AB9AA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2C5A59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公开05表</w:t>
            </w:r>
          </w:p>
        </w:tc>
      </w:tr>
      <w:tr w14:paraId="614337BB">
        <w:tblPrEx>
          <w:tblCellMar>
            <w:top w:w="0" w:type="dxa"/>
            <w:left w:w="108" w:type="dxa"/>
            <w:bottom w:w="0" w:type="dxa"/>
            <w:right w:w="108" w:type="dxa"/>
          </w:tblCellMar>
        </w:tblPrEx>
        <w:trPr>
          <w:cantSplit/>
          <w:tblHeader/>
        </w:trPr>
        <w:tc>
          <w:tcPr>
            <w:tcW w:w="10530" w:type="dxa"/>
            <w:gridSpan w:val="3"/>
            <w:noWrap w:val="0"/>
            <w:tcMar>
              <w:top w:w="20" w:type="dxa"/>
              <w:left w:w="108" w:type="dxa"/>
              <w:bottom w:w="20" w:type="dxa"/>
              <w:right w:w="108" w:type="dxa"/>
            </w:tcMar>
            <w:vAlign w:val="center"/>
          </w:tcPr>
          <w:p w14:paraId="1BBD25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编制单位：莆田市荔城区镇海街道办事处本级</w:t>
            </w:r>
          </w:p>
        </w:tc>
        <w:tc>
          <w:tcPr>
            <w:tcW w:w="21600" w:type="dxa"/>
            <w:gridSpan w:val="2"/>
            <w:noWrap w:val="0"/>
            <w:tcMar>
              <w:top w:w="20" w:type="dxa"/>
              <w:left w:w="108" w:type="dxa"/>
              <w:bottom w:w="20" w:type="dxa"/>
              <w:right w:w="108" w:type="dxa"/>
            </w:tcMar>
            <w:vAlign w:val="center"/>
          </w:tcPr>
          <w:p w14:paraId="33EF06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7393DAF3">
        <w:tblPrEx>
          <w:tblCellMar>
            <w:top w:w="0" w:type="dxa"/>
            <w:left w:w="108" w:type="dxa"/>
            <w:bottom w:w="0" w:type="dxa"/>
            <w:right w:w="108" w:type="dxa"/>
          </w:tblCellMar>
        </w:tblPrEx>
        <w:trPr>
          <w:cantSplit/>
          <w:tblHeader/>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E6E77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78EB4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1E95D5D2">
        <w:tblPrEx>
          <w:tblCellMar>
            <w:top w:w="0" w:type="dxa"/>
            <w:left w:w="108" w:type="dxa"/>
            <w:bottom w:w="0" w:type="dxa"/>
            <w:right w:w="108" w:type="dxa"/>
          </w:tblCellMar>
        </w:tblPrEx>
        <w:trPr>
          <w:cantSplit/>
          <w:tblHeader/>
        </w:trPr>
        <w:tc>
          <w:tcPr>
            <w:tcW w:w="1054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86765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B541E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472EC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B30E0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2F3C9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64649593">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EC0B0C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65D255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25591E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5F5D1B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14DD16C">
            <w:pPr>
              <w:rPr>
                <w:rFonts w:ascii="Times New Roman" w:hAnsi="Times New Roman" w:eastAsia="Times New Roman" w:cs="Times New Roman"/>
                <w:b w:val="0"/>
                <w:bCs w:val="0"/>
                <w:i w:val="0"/>
                <w:iCs w:val="0"/>
                <w:smallCaps w:val="0"/>
                <w:color w:val="000000"/>
                <w:kern w:val="0"/>
                <w:sz w:val="26"/>
                <w:szCs w:val="26"/>
              </w:rPr>
            </w:pPr>
          </w:p>
        </w:tc>
      </w:tr>
      <w:tr w14:paraId="43714710">
        <w:tblPrEx>
          <w:tblCellMar>
            <w:top w:w="0" w:type="dxa"/>
            <w:left w:w="108" w:type="dxa"/>
            <w:bottom w:w="0" w:type="dxa"/>
            <w:right w:w="108" w:type="dxa"/>
          </w:tblCellMar>
        </w:tblPrEx>
        <w:trPr>
          <w:cantSplit/>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E8C7B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954C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2,396.11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85BC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551.72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6A28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1,844.39</w:t>
            </w:r>
          </w:p>
        </w:tc>
      </w:tr>
      <w:tr w14:paraId="498D8708">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F437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BF6F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F56B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445.21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5851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435.21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A71A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r>
      <w:tr w14:paraId="133B54E1">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3432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63A3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C2E7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435.21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6896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435.21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91A6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2B42A68">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ABF9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277C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7067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EF4F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0442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CCD46E2">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ADBF0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BE61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其他政府办公厅（室）及相关机构事务支出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A6E4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128.36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5056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128.36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836B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5B29C98">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A5B5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BA1C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党委办公厅（室）及相关机构事务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2063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18F5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F824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r>
      <w:tr w14:paraId="504D5F66">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B6AF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0952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其他党委办公厅（室）及相关机构事务支出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7BAF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11C0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73EB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r>
      <w:tr w14:paraId="4F53FE50">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F819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FEDB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3430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A6CF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2DF7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r>
      <w:tr w14:paraId="0E040BC5">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04D8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17D1F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国家安全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E2BB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AE79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EB46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r>
      <w:tr w14:paraId="284DC75C">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F0115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2E04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其他国家安全支出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3BBA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171D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7918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r>
      <w:tr w14:paraId="2E4C72C8">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971E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89F5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6C5F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693B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BD60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809.33</w:t>
            </w:r>
          </w:p>
        </w:tc>
      </w:tr>
      <w:tr w14:paraId="6D076BD2">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E273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19E5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体育</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5E17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AAB9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48E8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509.33</w:t>
            </w:r>
          </w:p>
        </w:tc>
      </w:tr>
      <w:tr w14:paraId="6250A37F">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02C0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CFDB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体育竞赛</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0D42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AFC8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3142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509.33</w:t>
            </w:r>
          </w:p>
        </w:tc>
      </w:tr>
      <w:tr w14:paraId="49F3048F">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50421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FCAB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8231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325B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F8A7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300.00</w:t>
            </w:r>
          </w:p>
        </w:tc>
      </w:tr>
      <w:tr w14:paraId="54D1480F">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BE39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66B6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1C55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4545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1DF1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300.00</w:t>
            </w:r>
          </w:p>
        </w:tc>
      </w:tr>
      <w:tr w14:paraId="5AFE2F42">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64E04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A8588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7344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171A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C96A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5B88B23">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CE02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D294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人力资源和社会保障管理事务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4EE9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9FE8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EF9F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782FA7C">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FD28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1647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其他人力资源和社会保障管理事务支出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C8CA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6004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3B69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73575CF">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74EFB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53BE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A574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F193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1770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077A991">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29AC9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25D7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行政单位离退休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94DC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2826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B7E1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B7CFB27">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0720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C27B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99D3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309F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6A66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345A31A">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3169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DABD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EF9E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4640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5C43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B0ED341">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80E9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3C69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5DB1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9B0F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2D84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DF93D57">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CC10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77478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E51A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8BF8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4525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B8AA37F">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3473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59BF6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4D81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532.34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56AD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56BB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532.34</w:t>
            </w:r>
          </w:p>
        </w:tc>
      </w:tr>
      <w:tr w14:paraId="49788CF6">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0D2D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7804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995F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65.34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B144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9696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65.34</w:t>
            </w:r>
          </w:p>
        </w:tc>
      </w:tr>
      <w:tr w14:paraId="78E66464">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8879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AF12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其他城乡社区管理事务支出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ED5B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65.34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AC17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9954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65.34</w:t>
            </w:r>
          </w:p>
        </w:tc>
      </w:tr>
      <w:tr w14:paraId="591A2C57">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6E75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63D6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6B0D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467.00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0C34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F388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467.00</w:t>
            </w:r>
          </w:p>
        </w:tc>
      </w:tr>
      <w:tr w14:paraId="5221699C">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D14D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A25E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303A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467.00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4FE7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06AE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467.00</w:t>
            </w:r>
          </w:p>
        </w:tc>
      </w:tr>
      <w:tr w14:paraId="5B8B406D">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9CB8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A2D8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16D3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05F0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BD5C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r>
      <w:tr w14:paraId="04328404">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630AF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1FA1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农村综合改革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249D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9E46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D14E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r>
      <w:tr w14:paraId="3F7831DE">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D0AE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9A15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对村民委员会和村党支部的补助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63D9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4F45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A76F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r>
      <w:tr w14:paraId="542C189A">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CA61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F45A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02E2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8561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F2D2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3E0F9D3">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D549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3D8D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公路水路运输</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674E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DA96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1826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D2D1D4C">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9AE0D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2140112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F4C5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公路运输管理</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2457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040A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3198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7D43C30">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12BB1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1856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CB04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AA09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E65E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0B673A8">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83A0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C650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3C7E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C3A3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3CF6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3A00238">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D345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E240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2021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A929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B22E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9ED84CE">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1039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FEEA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22DB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5291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E862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r>
      <w:tr w14:paraId="566936E1">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1D28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C3C4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消防救援事务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5CA0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1E69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98C9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r>
      <w:tr w14:paraId="32F2CFF8">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AB0E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A983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其他消防救援事务支出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9B58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69FA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4AE8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r>
      <w:tr w14:paraId="3839B19A">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14:paraId="4DEFEFD8">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w:t>
            </w:r>
            <w:r>
              <w:rPr>
                <w:rFonts w:hint="eastAsia" w:ascii="宋体" w:hAnsi="宋体" w:cs="宋体"/>
                <w:b w:val="0"/>
                <w:bCs w:val="0"/>
                <w:i w:val="0"/>
                <w:iCs w:val="0"/>
                <w:smallCaps w:val="0"/>
                <w:color w:val="000000"/>
                <w:kern w:val="0"/>
                <w:sz w:val="21"/>
                <w:szCs w:val="26"/>
                <w:lang w:val="en-US" w:eastAsia="zh-CN"/>
              </w:rPr>
              <w:t>1.</w:t>
            </w:r>
            <w:r>
              <w:rPr>
                <w:rFonts w:ascii="宋体" w:hAnsi="宋体" w:eastAsia="宋体" w:cs="宋体"/>
                <w:b w:val="0"/>
                <w:bCs w:val="0"/>
                <w:i w:val="0"/>
                <w:iCs w:val="0"/>
                <w:smallCaps w:val="0"/>
                <w:color w:val="000000"/>
                <w:kern w:val="0"/>
                <w:sz w:val="21"/>
                <w:szCs w:val="26"/>
              </w:rPr>
              <w:t>本表反映单位本年度一般公共预算财政拨款支出情况。</w:t>
            </w:r>
          </w:p>
        </w:tc>
      </w:tr>
    </w:tbl>
    <w:p w14:paraId="4C632781">
      <w:pPr>
        <w:sectPr>
          <w:footerReference r:id="rId12" w:type="default"/>
          <w:pgSz w:w="16383" w:h="11906" w:orient="landscape"/>
          <w:pgMar w:top="1134" w:right="720" w:bottom="1134" w:left="720" w:header="720" w:footer="720" w:gutter="0"/>
          <w:cols w:space="720" w:num="1"/>
        </w:sectPr>
      </w:pPr>
      <w:r>
        <w:rPr>
          <w:rFonts w:ascii="宋体" w:hAnsi="宋体" w:cs="宋体"/>
          <w:spacing w:val="0"/>
          <w:kern w:val="0"/>
          <w:sz w:val="23"/>
          <w:szCs w:val="23"/>
        </w:rPr>
        <w:t>2.没有一般公共预算财政拨款支出请在表格中填“0”，并说明“本单位2024年度没有使用一般公共预算财政拨款安排的支出。</w:t>
      </w:r>
    </w:p>
    <w:p w14:paraId="7E6CCDEF">
      <w:pPr>
        <w:pStyle w:val="28"/>
        <w:widowControl/>
        <w:spacing w:before="100" w:after="100"/>
        <w:ind w:right="100"/>
        <w:jc w:val="left"/>
        <w:rPr>
          <w:rFonts w:ascii="Times New Roman" w:hAnsi="Times New Roman" w:eastAsia="Times New Roman" w:cs="Times New Roman"/>
          <w:kern w:val="0"/>
          <w:sz w:val="24"/>
        </w:rPr>
      </w:pPr>
    </w:p>
    <w:p w14:paraId="26C93643">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1" w:name="_Toc256000115"/>
      <w:bookmarkStart w:id="62" w:name="_Toc256000142"/>
      <w:bookmarkStart w:id="63" w:name="_Toc256000037"/>
      <w:bookmarkStart w:id="64" w:name="_Toc256000088"/>
      <w:bookmarkStart w:id="65" w:name="_Toc256000010"/>
      <w:bookmarkStart w:id="66" w:name="_Toc256000064"/>
      <w:r>
        <w:rPr>
          <w:rFonts w:ascii="黑体" w:hAnsi="黑体" w:eastAsia="黑体" w:cs="黑体"/>
          <w:b w:val="0"/>
          <w:bCs w:val="0"/>
          <w:spacing w:val="0"/>
        </w:rPr>
        <w:t>六、一般公共预算财政拨款基本支出决算表</w:t>
      </w:r>
      <w:bookmarkEnd w:id="61"/>
      <w:bookmarkEnd w:id="62"/>
      <w:bookmarkEnd w:id="63"/>
      <w:bookmarkEnd w:id="64"/>
      <w:bookmarkEnd w:id="65"/>
      <w:bookmarkEnd w:id="66"/>
    </w:p>
    <w:p w14:paraId="2EB9688D">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1685"/>
        <w:gridCol w:w="1685"/>
        <w:gridCol w:w="1685"/>
        <w:gridCol w:w="1684"/>
        <w:gridCol w:w="1684"/>
        <w:gridCol w:w="1684"/>
        <w:gridCol w:w="1684"/>
        <w:gridCol w:w="1684"/>
        <w:gridCol w:w="1684"/>
      </w:tblGrid>
      <w:tr w14:paraId="04AE1E62">
        <w:tblPrEx>
          <w:tblCellMar>
            <w:top w:w="0" w:type="dxa"/>
            <w:left w:w="108" w:type="dxa"/>
            <w:bottom w:w="0" w:type="dxa"/>
            <w:right w:w="108" w:type="dxa"/>
          </w:tblCellMar>
        </w:tblPrEx>
        <w:trPr>
          <w:cantSplit/>
          <w:tblHeader/>
        </w:trPr>
        <w:tc>
          <w:tcPr>
            <w:tcW w:w="16377" w:type="dxa"/>
            <w:gridSpan w:val="9"/>
            <w:noWrap w:val="0"/>
            <w:tcMar>
              <w:top w:w="20" w:type="dxa"/>
              <w:left w:w="108" w:type="dxa"/>
              <w:bottom w:w="20" w:type="dxa"/>
              <w:right w:w="108" w:type="dxa"/>
            </w:tcMar>
            <w:vAlign w:val="center"/>
          </w:tcPr>
          <w:p w14:paraId="22B125C7">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一般公共预算财政拨款基本支出决算表</w:t>
            </w:r>
          </w:p>
        </w:tc>
      </w:tr>
      <w:tr w14:paraId="2BF1D790">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14:paraId="1D234C9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6827B1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6ACAA0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1C0DAB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2B8AD8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公开06表</w:t>
            </w:r>
          </w:p>
        </w:tc>
      </w:tr>
      <w:tr w14:paraId="5244400B">
        <w:tblPrEx>
          <w:tblCellMar>
            <w:top w:w="0" w:type="dxa"/>
            <w:left w:w="108" w:type="dxa"/>
            <w:bottom w:w="0" w:type="dxa"/>
            <w:right w:w="108" w:type="dxa"/>
          </w:tblCellMar>
        </w:tblPrEx>
        <w:trPr>
          <w:cantSplit/>
          <w:tblHeader/>
        </w:trPr>
        <w:tc>
          <w:tcPr>
            <w:tcW w:w="21600" w:type="dxa"/>
            <w:gridSpan w:val="6"/>
            <w:noWrap w:val="0"/>
            <w:tcMar>
              <w:top w:w="20" w:type="dxa"/>
              <w:left w:w="108" w:type="dxa"/>
              <w:bottom w:w="20" w:type="dxa"/>
              <w:right w:w="108" w:type="dxa"/>
            </w:tcMar>
            <w:vAlign w:val="center"/>
          </w:tcPr>
          <w:p w14:paraId="4C7A7FC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编制单位：莆田市荔城区镇海街道办事处本级</w:t>
            </w:r>
          </w:p>
        </w:tc>
        <w:tc>
          <w:tcPr>
            <w:tcW w:w="21600" w:type="dxa"/>
            <w:noWrap w:val="0"/>
            <w:tcMar>
              <w:top w:w="20" w:type="dxa"/>
              <w:left w:w="108" w:type="dxa"/>
              <w:bottom w:w="20" w:type="dxa"/>
              <w:right w:w="108" w:type="dxa"/>
            </w:tcMar>
            <w:vAlign w:val="bottom"/>
          </w:tcPr>
          <w:p w14:paraId="7F0F9A1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5FADA9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7866AE66">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72D34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B7119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92745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9F600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D6B62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3E084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69473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A7C4A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CED87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r>
      <w:tr w14:paraId="3DAA964F">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F2D2DD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1FACA1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36B9FE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440843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8372EB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C6BA90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7E306D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245B14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E180A13">
            <w:pPr>
              <w:rPr>
                <w:rFonts w:ascii="Times New Roman" w:hAnsi="Times New Roman" w:eastAsia="Times New Roman" w:cs="Times New Roman"/>
                <w:b w:val="0"/>
                <w:bCs w:val="0"/>
                <w:i w:val="0"/>
                <w:iCs w:val="0"/>
                <w:smallCaps w:val="0"/>
                <w:color w:val="000000"/>
                <w:kern w:val="0"/>
                <w:sz w:val="26"/>
                <w:szCs w:val="26"/>
              </w:rPr>
            </w:pPr>
          </w:p>
        </w:tc>
      </w:tr>
      <w:tr w14:paraId="42D17BD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26AAF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1C2C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4675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381.16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2093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1F59E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E7F9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153.81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47CED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8E29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5151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5D34B2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3E34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4A35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488E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97.23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F5F2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071C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ABF8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139.73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CF27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98B6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3792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4E0AF8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2BB2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C170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津贴补贴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61C9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101.93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596E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5871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印刷费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5315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4948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2F867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0C00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B37215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1BD4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348F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66F4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338E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FFC5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咨询费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2683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B67C7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8DB0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房屋建筑物购建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58FC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53087D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E7F0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1BF2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伙食补助费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2683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D5FE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F28E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手续费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7B4B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10D50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8E30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03C7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2C2D77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69E5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2226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绩效工资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C2D2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2B20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1074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F2BA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5E55B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6BB0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3373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40ED22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C52C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83AD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8175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D377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558F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6749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1E13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52C1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基础设施建设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7E31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D246C4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C46EF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1D2F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职业年金缴费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A354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06B8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123E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邮电费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E986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5DCCF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45D0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大型修缮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BFEF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CC856F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D9F7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1ADF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职工基本医疗保险缴费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57E8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5A4D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438C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取暖费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4475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916C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343B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信息网络及软件购置更新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C79F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A26FC3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88B55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FEE83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59E7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5783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A306F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物业管理费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72F1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0270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5BBF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物资储备</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5106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78B069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C59D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6D23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BD7B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91EF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7AF1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差旅费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546E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9B0A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A145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土地补偿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74F4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06C4F5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D52D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92BC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C0B1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32FA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141C5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因公出国（境）费用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CD19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B1862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B4CA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安置补助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9F27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641FA9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24F4D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A918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3941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DBDA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C84F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维修（护）费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CB6B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BFFA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D3271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地上附着物和青苗补偿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C94C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E69E81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E193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A324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9F03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7D899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56F8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租赁费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6BBC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A165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707A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拆迁补偿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58C7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A45E6E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09EE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0BA5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2BF7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16.75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11D1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8265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会议费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D6CA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51F4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CE98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4A8F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863D6E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F7A3B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3606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离休费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CCF9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751A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CF53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培训费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9270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0A2F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D5F69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其他交通工具购置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91C3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68CF83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EC2F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D0B03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418C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F4BB6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D8F7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5BDF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2E4A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D7C7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文物和陈列品购置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9BF4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65E5A2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AD5E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5810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退职（役）费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6973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8BBF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83CE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专用材料费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064A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00C6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F178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无形资产购置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FC0E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5F5F10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5590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8FC3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抚恤金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F7A8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4F94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9D46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被装购置费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1020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79CB7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8B0B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DF28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DFB192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2509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2AF5C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生活补助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4EA1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2B20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B356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专用燃料费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C093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2FC5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B296F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D946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C0E28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39FF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4BAC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救济费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2024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282B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CFDD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劳务费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25DC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917A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E74C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资本金注入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F0D8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3E34A8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4D05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CB71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78CC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8BB9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50DDC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委托业务费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8B6D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3D40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BBB5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政府投资基金股权投资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4756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E8D5F5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8965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F0E6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助学金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AF88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0EE8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0C5F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工会经费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1434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1F3CE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5AD3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费用补贴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8D50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4B893D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32FA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466B7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奖励金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EB1F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00A0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7DD1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福利费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21DA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27AE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C54C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利息补贴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2680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57999D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756D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62B7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个人农业生产补贴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33FCE2">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CBF5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FE2C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1F1204">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2B3F1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1861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D03144">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r>
      <w:tr w14:paraId="63E6770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401C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34B2B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代缴社会保险费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C6A9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B29BC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A262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EC7F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60E6B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CFCE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D530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D6E016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C0DA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E30B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0D82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C146F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B124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税金及附加费用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35FA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8E91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42FEF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38D3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8BA053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56A1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E4F7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2CC4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536E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749ED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DAB8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5FB3D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FDBF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国家赔偿费用支出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FD93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4BE732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F478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41A4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810A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90E5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002F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债务利息及费用支出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54EE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9976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DCEE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对民间非营利组织和群众性自治组织补贴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2A0D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3B1156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D3F4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F68A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28A93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A5245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ABBB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9810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8CC6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29B39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经常性赠与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C82E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0F3326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E5F8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E8B6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2846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8D0F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65949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13A4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96B8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6372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29AC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44281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2553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D2CB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2535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B2B5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E667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5ABA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9E66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369A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AD05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2AF2BA16">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A2990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人员经费合计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E24D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397.91</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91FF9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公用经费合计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B35C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153.81</w:t>
            </w:r>
          </w:p>
        </w:tc>
      </w:tr>
      <w:tr w14:paraId="2A7CD719">
        <w:tblPrEx>
          <w:tblCellMar>
            <w:top w:w="0" w:type="dxa"/>
            <w:left w:w="108" w:type="dxa"/>
            <w:bottom w:w="0" w:type="dxa"/>
            <w:right w:w="108" w:type="dxa"/>
          </w:tblCellMar>
        </w:tblPrEx>
        <w:trPr>
          <w:cantSplit/>
        </w:trPr>
        <w:tc>
          <w:tcPr>
            <w:tcW w:w="16377" w:type="dxa"/>
            <w:gridSpan w:val="9"/>
            <w:noWrap w:val="0"/>
            <w:tcMar>
              <w:top w:w="20" w:type="dxa"/>
              <w:left w:w="108" w:type="dxa"/>
              <w:bottom w:w="20" w:type="dxa"/>
              <w:right w:w="108" w:type="dxa"/>
            </w:tcMar>
            <w:vAlign w:val="center"/>
          </w:tcPr>
          <w:p w14:paraId="363AE1B6">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w:t>
            </w:r>
            <w:r>
              <w:rPr>
                <w:rFonts w:hint="eastAsia" w:ascii="宋体" w:hAnsi="宋体" w:cs="宋体"/>
                <w:b w:val="0"/>
                <w:bCs w:val="0"/>
                <w:i w:val="0"/>
                <w:iCs w:val="0"/>
                <w:smallCaps w:val="0"/>
                <w:color w:val="000000"/>
                <w:kern w:val="0"/>
                <w:sz w:val="21"/>
                <w:szCs w:val="26"/>
                <w:lang w:val="en-US" w:eastAsia="zh-CN"/>
              </w:rPr>
              <w:t>1.</w:t>
            </w:r>
            <w:r>
              <w:rPr>
                <w:rFonts w:ascii="宋体" w:hAnsi="宋体" w:eastAsia="宋体" w:cs="宋体"/>
                <w:b w:val="0"/>
                <w:bCs w:val="0"/>
                <w:i w:val="0"/>
                <w:iCs w:val="0"/>
                <w:smallCaps w:val="0"/>
                <w:color w:val="000000"/>
                <w:kern w:val="0"/>
                <w:sz w:val="21"/>
                <w:szCs w:val="26"/>
              </w:rPr>
              <w:t>本表反映单位本年度一般公共预算财政拨款基本支出明细情况。</w:t>
            </w:r>
          </w:p>
        </w:tc>
      </w:tr>
    </w:tbl>
    <w:p w14:paraId="1F03421B">
      <w:pPr>
        <w:sectPr>
          <w:footerReference r:id="rId13" w:type="default"/>
          <w:pgSz w:w="16383" w:h="11906" w:orient="landscape"/>
          <w:pgMar w:top="1134" w:right="720" w:bottom="1134" w:left="720" w:header="720" w:footer="720" w:gutter="0"/>
          <w:cols w:space="720" w:num="1"/>
        </w:sectPr>
      </w:pPr>
      <w:r>
        <w:rPr>
          <w:rFonts w:ascii="Times New Roman" w:hAnsi="Times New Roman" w:eastAsia="Times New Roman" w:cs="Times New Roman"/>
          <w:spacing w:val="0"/>
          <w:kern w:val="0"/>
          <w:sz w:val="23"/>
          <w:szCs w:val="23"/>
        </w:rPr>
        <w:t xml:space="preserve"> 2.没有一般公共预算财政基本支出请在表格中填“0”，并说明“本单位2024年度没有使用一般公共预算财政安排的基本支出。</w:t>
      </w:r>
    </w:p>
    <w:p w14:paraId="55A763B0">
      <w:pPr>
        <w:pStyle w:val="28"/>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3"/>
          <w:szCs w:val="23"/>
        </w:rPr>
        <w:t>   </w:t>
      </w:r>
    </w:p>
    <w:p w14:paraId="2BFAE88C">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p>
    <w:p w14:paraId="6769D453">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7" w:name="_Toc256000066"/>
      <w:bookmarkStart w:id="68" w:name="_Toc256000090"/>
      <w:bookmarkStart w:id="69" w:name="_Toc256000117"/>
      <w:bookmarkStart w:id="70" w:name="_Toc256000039"/>
      <w:bookmarkStart w:id="71" w:name="_Toc256000144"/>
      <w:bookmarkStart w:id="72" w:name="_Toc256000012"/>
      <w:r>
        <w:rPr>
          <w:rFonts w:ascii="黑体" w:hAnsi="黑体" w:eastAsia="黑体" w:cs="黑体"/>
          <w:b w:val="0"/>
          <w:bCs w:val="0"/>
          <w:spacing w:val="0"/>
        </w:rPr>
        <w:t>七、一般公共预算财政拨款“三公”经费支出决算表</w:t>
      </w:r>
      <w:bookmarkEnd w:id="67"/>
      <w:bookmarkEnd w:id="68"/>
      <w:bookmarkEnd w:id="69"/>
      <w:bookmarkEnd w:id="70"/>
      <w:bookmarkEnd w:id="71"/>
      <w:bookmarkEnd w:id="72"/>
    </w:p>
    <w:p w14:paraId="52AB7710">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5053"/>
        <w:gridCol w:w="5053"/>
        <w:gridCol w:w="5053"/>
      </w:tblGrid>
      <w:tr w14:paraId="66B76A16">
        <w:tblPrEx>
          <w:tblCellMar>
            <w:top w:w="0" w:type="dxa"/>
            <w:left w:w="108" w:type="dxa"/>
            <w:bottom w:w="0" w:type="dxa"/>
            <w:right w:w="108" w:type="dxa"/>
          </w:tblCellMar>
        </w:tblPrEx>
        <w:trPr>
          <w:cantSplit/>
          <w:tblHeader/>
        </w:trPr>
        <w:tc>
          <w:tcPr>
            <w:tcW w:w="16383" w:type="dxa"/>
            <w:gridSpan w:val="3"/>
            <w:noWrap w:val="0"/>
            <w:tcMar>
              <w:top w:w="20" w:type="dxa"/>
              <w:left w:w="108" w:type="dxa"/>
              <w:bottom w:w="20" w:type="dxa"/>
              <w:right w:w="108" w:type="dxa"/>
            </w:tcMar>
            <w:vAlign w:val="center"/>
          </w:tcPr>
          <w:p w14:paraId="53CC8906">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一般公共预算财政拨款“三公”经费支出决算表</w:t>
            </w:r>
          </w:p>
        </w:tc>
      </w:tr>
      <w:tr w14:paraId="09CE2286">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563F9E7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78AB88F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公开07表</w:t>
            </w:r>
          </w:p>
        </w:tc>
      </w:tr>
      <w:tr w14:paraId="09F553B5">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center"/>
          </w:tcPr>
          <w:p w14:paraId="76EC36B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编制单位：莆田市荔城区镇海街道办事处本级</w:t>
            </w:r>
          </w:p>
        </w:tc>
        <w:tc>
          <w:tcPr>
            <w:tcW w:w="21600" w:type="dxa"/>
            <w:noWrap w:val="0"/>
            <w:tcMar>
              <w:top w:w="20" w:type="dxa"/>
              <w:left w:w="108" w:type="dxa"/>
              <w:bottom w:w="20" w:type="dxa"/>
              <w:right w:w="108" w:type="dxa"/>
            </w:tcMar>
            <w:vAlign w:val="center"/>
          </w:tcPr>
          <w:p w14:paraId="1AE266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053D590E">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C7269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0A2C1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F7510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156311B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E42BB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896C3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2030B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090A0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D4F81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 因公出国（境）费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60175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3F035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6EFEE3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BBA9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 公务用车购置及运行维护费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8FD1A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1FC12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817C91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66B3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其中：（1）公务用车购置费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98420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71FB9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D8BCCF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B5291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5C142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64303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0D661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B127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 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FFABC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F2F23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BC60931">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7BAA1C50">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注：1.本表反映单位本年度“三公”经费支出决算情况，包括当年一般公共预算财政拨款和以前年度结转资金安排的实际支出。</w:t>
            </w:r>
          </w:p>
        </w:tc>
      </w:tr>
      <w:tr w14:paraId="4E53F073">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28EED677">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2.本单位2024年度没有使用一般公共预算财政拨款安排的“三公”经费支出</w:t>
            </w:r>
          </w:p>
        </w:tc>
      </w:tr>
    </w:tbl>
    <w:p w14:paraId="65AD1CC7">
      <w:pPr>
        <w:sectPr>
          <w:footerReference r:id="rId14" w:type="default"/>
          <w:pgSz w:w="16383" w:h="11906" w:orient="landscape"/>
          <w:pgMar w:top="1134" w:right="720" w:bottom="1134" w:left="720" w:header="720" w:footer="720" w:gutter="0"/>
          <w:cols w:space="720" w:num="1"/>
        </w:sectPr>
      </w:pPr>
      <w:r>
        <w:rPr>
          <w:rFonts w:ascii="宋体" w:hAnsi="宋体" w:cs="宋体"/>
          <w:b w:val="0"/>
          <w:bCs w:val="0"/>
          <w:spacing w:val="0"/>
          <w:kern w:val="0"/>
          <w:sz w:val="24"/>
        </w:rPr>
        <w:t>3</w:t>
      </w:r>
      <w:r>
        <w:rPr>
          <w:rFonts w:ascii="宋体" w:hAnsi="宋体" w:cs="宋体"/>
          <w:b w:val="0"/>
          <w:bCs w:val="0"/>
          <w:spacing w:val="0"/>
          <w:kern w:val="0"/>
          <w:sz w:val="23"/>
          <w:szCs w:val="23"/>
        </w:rPr>
        <w:t>.没有一般公共预算财政拨款“三公”经费支出请在表格中填“0”。</w:t>
      </w:r>
    </w:p>
    <w:p w14:paraId="51F96393">
      <w:pPr>
        <w:pStyle w:val="29"/>
        <w:widowControl/>
        <w:spacing w:before="100" w:after="100"/>
        <w:ind w:left="100" w:right="100" w:firstLine="0"/>
        <w:jc w:val="left"/>
        <w:rPr>
          <w:rFonts w:ascii="Times New Roman" w:hAnsi="Times New Roman" w:eastAsia="Times New Roman" w:cs="Times New Roman"/>
          <w:b w:val="0"/>
          <w:bCs w:val="0"/>
          <w:kern w:val="0"/>
          <w:sz w:val="24"/>
        </w:rPr>
      </w:pPr>
      <w:r>
        <w:rPr>
          <w:rFonts w:ascii="宋体" w:hAnsi="宋体" w:cs="宋体"/>
          <w:b w:val="0"/>
          <w:bCs w:val="0"/>
          <w:spacing w:val="0"/>
          <w:kern w:val="0"/>
          <w:sz w:val="24"/>
        </w:rPr>
        <w:t> </w:t>
      </w:r>
    </w:p>
    <w:p w14:paraId="40F62FD6">
      <w:pPr>
        <w:pStyle w:val="29"/>
        <w:widowControl/>
        <w:spacing w:before="100" w:after="100"/>
        <w:ind w:left="100" w:right="100" w:firstLine="0"/>
        <w:jc w:val="left"/>
        <w:rPr>
          <w:rFonts w:ascii="Times New Roman" w:hAnsi="Times New Roman" w:eastAsia="Times New Roman" w:cs="Times New Roman"/>
          <w:b w:val="0"/>
          <w:bCs w:val="0"/>
          <w:kern w:val="0"/>
          <w:sz w:val="24"/>
        </w:rPr>
      </w:pPr>
    </w:p>
    <w:p w14:paraId="0376A4BE">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73" w:name="_Toc256000091"/>
      <w:bookmarkStart w:id="74" w:name="_Toc256000040"/>
      <w:bookmarkStart w:id="75" w:name="_Toc256000067"/>
      <w:bookmarkStart w:id="76" w:name="_Toc256000013"/>
      <w:bookmarkStart w:id="77" w:name="_Toc256000145"/>
      <w:bookmarkStart w:id="78" w:name="_Toc256000118"/>
      <w:r>
        <w:rPr>
          <w:rFonts w:ascii="黑体" w:hAnsi="黑体" w:eastAsia="黑体" w:cs="黑体"/>
          <w:b w:val="0"/>
          <w:bCs w:val="0"/>
          <w:spacing w:val="0"/>
        </w:rPr>
        <w:t>八、政府性基金预算财政拨款收入支出决算表</w:t>
      </w:r>
      <w:bookmarkEnd w:id="73"/>
      <w:bookmarkEnd w:id="74"/>
      <w:bookmarkEnd w:id="75"/>
      <w:bookmarkEnd w:id="76"/>
      <w:bookmarkEnd w:id="77"/>
      <w:bookmarkEnd w:id="78"/>
    </w:p>
    <w:p w14:paraId="62F04A4B">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gk08</w:t>
      </w:r>
    </w:p>
    <w:tbl>
      <w:tblPr>
        <w:tblStyle w:val="19"/>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6140C1BA">
        <w:tblPrEx>
          <w:tblCellMar>
            <w:top w:w="0" w:type="dxa"/>
            <w:left w:w="108" w:type="dxa"/>
            <w:bottom w:w="0" w:type="dxa"/>
            <w:right w:w="108" w:type="dxa"/>
          </w:tblCellMar>
        </w:tblPrEx>
        <w:trPr>
          <w:cantSplit/>
          <w:tblHeader/>
        </w:trPr>
        <w:tc>
          <w:tcPr>
            <w:tcW w:w="14400" w:type="dxa"/>
            <w:gridSpan w:val="10"/>
            <w:noWrap w:val="0"/>
            <w:tcMar>
              <w:top w:w="20" w:type="dxa"/>
              <w:left w:w="108" w:type="dxa"/>
              <w:bottom w:w="20" w:type="dxa"/>
              <w:right w:w="108" w:type="dxa"/>
            </w:tcMar>
            <w:vAlign w:val="center"/>
          </w:tcPr>
          <w:p w14:paraId="4FB30B20">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政府性基金预算财政拨款收入支出决算表</w:t>
            </w:r>
          </w:p>
        </w:tc>
      </w:tr>
      <w:tr w14:paraId="6B70C1BD">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4397465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22ECC6C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2CA2D3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83A94E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F6ED57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884FD9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69D6FD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0E4C08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5A1A15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公开08表</w:t>
            </w:r>
          </w:p>
        </w:tc>
      </w:tr>
      <w:tr w14:paraId="5620BE2B">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6E0BB2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编制单位：莆田市荔城区镇海街道办事处本级</w:t>
            </w:r>
          </w:p>
        </w:tc>
        <w:tc>
          <w:tcPr>
            <w:tcW w:w="21600" w:type="dxa"/>
            <w:noWrap w:val="0"/>
            <w:tcMar>
              <w:top w:w="20" w:type="dxa"/>
              <w:left w:w="108" w:type="dxa"/>
              <w:bottom w:w="20" w:type="dxa"/>
              <w:right w:w="108" w:type="dxa"/>
            </w:tcMar>
            <w:vAlign w:val="bottom"/>
          </w:tcPr>
          <w:p w14:paraId="6DBF614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C9799F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00BFB0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4397E973">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021A1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A1161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30E44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3E339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2EBE8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年末结转和结余</w:t>
            </w:r>
          </w:p>
        </w:tc>
      </w:tr>
      <w:tr w14:paraId="46341A32">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839C5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03655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DB31B5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F2FBBB5">
            <w:pPr>
              <w:rPr>
                <w:rFonts w:ascii="Times New Roman" w:hAnsi="Times New Roman" w:eastAsia="Times New Roman" w:cs="Times New Roman"/>
                <w:b w:val="0"/>
                <w:bCs w:val="0"/>
                <w:i w:val="0"/>
                <w:iCs w:val="0"/>
                <w:smallCaps w:val="0"/>
                <w:color w:val="000000"/>
                <w:kern w:val="0"/>
                <w:sz w:val="26"/>
                <w:szCs w:val="2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30859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F40FD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基本支出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864D2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4D230AF">
            <w:pPr>
              <w:rPr>
                <w:rFonts w:ascii="Times New Roman" w:hAnsi="Times New Roman" w:eastAsia="Times New Roman" w:cs="Times New Roman"/>
                <w:b w:val="0"/>
                <w:bCs w:val="0"/>
                <w:i w:val="0"/>
                <w:iCs w:val="0"/>
                <w:smallCaps w:val="0"/>
                <w:color w:val="000000"/>
                <w:kern w:val="0"/>
                <w:sz w:val="26"/>
                <w:szCs w:val="26"/>
              </w:rPr>
            </w:pPr>
          </w:p>
        </w:tc>
      </w:tr>
      <w:tr w14:paraId="3E88CBA8">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FB478E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90FE59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8EEFA5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85DDDB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202181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564F67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31E24F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2D2E7BB">
            <w:pPr>
              <w:rPr>
                <w:rFonts w:ascii="Times New Roman" w:hAnsi="Times New Roman" w:eastAsia="Times New Roman" w:cs="Times New Roman"/>
                <w:b w:val="0"/>
                <w:bCs w:val="0"/>
                <w:i w:val="0"/>
                <w:iCs w:val="0"/>
                <w:smallCaps w:val="0"/>
                <w:color w:val="000000"/>
                <w:kern w:val="0"/>
                <w:sz w:val="26"/>
                <w:szCs w:val="26"/>
              </w:rPr>
            </w:pPr>
          </w:p>
        </w:tc>
      </w:tr>
      <w:tr w14:paraId="58D38983">
        <w:tblPrEx>
          <w:tblCellMar>
            <w:top w:w="0" w:type="dxa"/>
            <w:left w:w="108" w:type="dxa"/>
            <w:bottom w:w="0" w:type="dxa"/>
            <w:right w:w="108" w:type="dxa"/>
          </w:tblCellMar>
        </w:tblPrEx>
        <w:trPr>
          <w:cantSplit/>
          <w:tblHeader/>
        </w:trPr>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E9555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9EAFB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64E8D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C5216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B4A07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C77D0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09C4D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31479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3ED37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09B85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r>
      <w:tr w14:paraId="52C1C9AC">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E5EA32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AE353B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D584A62">
            <w:pPr>
              <w:rPr>
                <w:rFonts w:ascii="Times New Roman" w:hAnsi="Times New Roman" w:eastAsia="Times New Roman" w:cs="Times New Roman"/>
                <w:b w:val="0"/>
                <w:bCs w:val="0"/>
                <w:i w:val="0"/>
                <w:iCs w:val="0"/>
                <w:smallCaps w:val="0"/>
                <w:color w:val="000000"/>
                <w:kern w:val="0"/>
                <w:sz w:val="26"/>
                <w:szCs w:val="26"/>
              </w:rPr>
            </w:pP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53690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8741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2302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32B1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D7FC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2DCA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4A49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D6EA85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D383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250F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ACD4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293B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8F00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A315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E0C9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CA99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EC2FDDD">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A5D2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AFA7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国有土地使用权出让收入安排的支出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2CE3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A5F3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4F93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FAAC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974A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A511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0F7D72">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D7E5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14AE1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征地和拆迁补偿支出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ACDB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A1E2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8845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0BE3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4BC6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C274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66EC54F">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E109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5C76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7863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D96B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AF5D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D663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5081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D565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B883ED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4FB2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F5EF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其他政府性基金及对应专项债务收入安排的支出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AA34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4B4A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4506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E04E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56DF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8774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5005AF1">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A5AD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2290402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0413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其他地方自行试点项目收益专项债券收入安排的支出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DCAF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67C6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AC25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84F5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DA76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6AD8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BA585B6">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673DF919">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注：1.本表反映单位本年度政府性基金预算财政拨款收入、支出及结转和结余情况。</w:t>
            </w:r>
          </w:p>
        </w:tc>
      </w:tr>
      <w:tr w14:paraId="5ABD47D4">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2ADEC806">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cs="宋体"/>
                <w:b w:val="0"/>
                <w:bCs w:val="0"/>
                <w:spacing w:val="0"/>
                <w:kern w:val="0"/>
                <w:sz w:val="24"/>
              </w:rPr>
              <w:t>3</w:t>
            </w:r>
            <w:r>
              <w:rPr>
                <w:rFonts w:ascii="宋体" w:hAnsi="宋体" w:cs="宋体"/>
                <w:b w:val="0"/>
                <w:bCs w:val="0"/>
                <w:spacing w:val="0"/>
                <w:kern w:val="0"/>
                <w:sz w:val="23"/>
                <w:szCs w:val="23"/>
              </w:rPr>
              <w:t>.没有政府性基金拨款支出的部门请在表格中填“0”。</w:t>
            </w:r>
          </w:p>
        </w:tc>
      </w:tr>
    </w:tbl>
    <w:p w14:paraId="17280CE1">
      <w:pPr>
        <w:sectPr>
          <w:footerReference r:id="rId15" w:type="default"/>
          <w:pgSz w:w="16383" w:h="11906" w:orient="landscape"/>
          <w:pgMar w:top="1134" w:right="720" w:bottom="1134" w:left="720" w:header="720" w:footer="720" w:gutter="0"/>
          <w:cols w:space="720" w:num="1"/>
        </w:sectPr>
      </w:pPr>
    </w:p>
    <w:p w14:paraId="2E8353FF">
      <w:pPr>
        <w:pStyle w:val="28"/>
        <w:widowControl/>
        <w:spacing w:before="100" w:after="100"/>
        <w:ind w:left="100" w:right="100" w:firstLine="0"/>
        <w:jc w:val="left"/>
        <w:rPr>
          <w:rFonts w:ascii="Times New Roman" w:hAnsi="Times New Roman" w:eastAsia="Times New Roman" w:cs="Times New Roman"/>
          <w:b w:val="0"/>
          <w:bCs w:val="0"/>
          <w:kern w:val="0"/>
          <w:sz w:val="24"/>
        </w:rPr>
      </w:pPr>
      <w:r>
        <w:rPr>
          <w:rFonts w:ascii="宋体" w:hAnsi="宋体" w:cs="宋体"/>
          <w:b w:val="0"/>
          <w:bCs w:val="0"/>
          <w:spacing w:val="0"/>
          <w:kern w:val="0"/>
          <w:sz w:val="24"/>
        </w:rPr>
        <w:t xml:space="preserve">  </w:t>
      </w:r>
    </w:p>
    <w:p w14:paraId="7315AD08">
      <w:pPr>
        <w:pStyle w:val="28"/>
        <w:widowControl/>
        <w:spacing w:before="100" w:after="100"/>
        <w:ind w:left="100" w:right="100" w:firstLine="0"/>
        <w:jc w:val="left"/>
        <w:rPr>
          <w:rFonts w:ascii="Times New Roman" w:hAnsi="Times New Roman" w:eastAsia="Times New Roman" w:cs="Times New Roman"/>
          <w:b w:val="0"/>
          <w:bCs w:val="0"/>
          <w:kern w:val="0"/>
          <w:sz w:val="24"/>
        </w:rPr>
      </w:pPr>
    </w:p>
    <w:p w14:paraId="420AA281">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79" w:name="_Toc256000041"/>
      <w:bookmarkStart w:id="80" w:name="_Toc256000146"/>
      <w:bookmarkStart w:id="81" w:name="_Toc256000068"/>
      <w:bookmarkStart w:id="82" w:name="_Toc256000092"/>
      <w:bookmarkStart w:id="83" w:name="_Toc256000014"/>
      <w:bookmarkStart w:id="84" w:name="_Toc256000119"/>
      <w:r>
        <w:rPr>
          <w:rFonts w:ascii="黑体" w:hAnsi="黑体" w:eastAsia="黑体" w:cs="黑体"/>
          <w:b w:val="0"/>
          <w:bCs w:val="0"/>
          <w:spacing w:val="0"/>
        </w:rPr>
        <w:t>九、国有资本经营预算财政拨款支出决算表</w:t>
      </w:r>
      <w:bookmarkEnd w:id="79"/>
      <w:bookmarkEnd w:id="80"/>
      <w:bookmarkEnd w:id="81"/>
      <w:bookmarkEnd w:id="82"/>
      <w:bookmarkEnd w:id="83"/>
      <w:bookmarkEnd w:id="84"/>
    </w:p>
    <w:p w14:paraId="6B6649C1">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gk09</w:t>
      </w:r>
    </w:p>
    <w:tbl>
      <w:tblPr>
        <w:tblStyle w:val="19"/>
        <w:tblW w:w="5000" w:type="pct"/>
        <w:tblInd w:w="20" w:type="dxa"/>
        <w:tblLayout w:type="fixed"/>
        <w:tblCellMar>
          <w:top w:w="0" w:type="dxa"/>
          <w:left w:w="108" w:type="dxa"/>
          <w:bottom w:w="0" w:type="dxa"/>
          <w:right w:w="108" w:type="dxa"/>
        </w:tblCellMar>
      </w:tblPr>
      <w:tblGrid>
        <w:gridCol w:w="3031"/>
        <w:gridCol w:w="3032"/>
        <w:gridCol w:w="3032"/>
        <w:gridCol w:w="3032"/>
        <w:gridCol w:w="3032"/>
      </w:tblGrid>
      <w:tr w14:paraId="123A948F">
        <w:tblPrEx>
          <w:tblCellMar>
            <w:top w:w="0" w:type="dxa"/>
            <w:left w:w="108" w:type="dxa"/>
            <w:bottom w:w="0" w:type="dxa"/>
            <w:right w:w="108" w:type="dxa"/>
          </w:tblCellMar>
        </w:tblPrEx>
        <w:trPr>
          <w:cantSplit/>
          <w:tblHeader/>
        </w:trPr>
        <w:tc>
          <w:tcPr>
            <w:tcW w:w="16380" w:type="dxa"/>
            <w:gridSpan w:val="5"/>
            <w:noWrap w:val="0"/>
            <w:tcMar>
              <w:top w:w="20" w:type="dxa"/>
              <w:left w:w="108" w:type="dxa"/>
              <w:bottom w:w="20" w:type="dxa"/>
              <w:right w:w="108" w:type="dxa"/>
            </w:tcMar>
            <w:vAlign w:val="center"/>
          </w:tcPr>
          <w:p w14:paraId="25CCB975">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国有资本经营预算财政拨款支出决算表</w:t>
            </w:r>
          </w:p>
        </w:tc>
      </w:tr>
      <w:tr w14:paraId="36AE7B11">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6ED8914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ED6D84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B23033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0C1564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公开09表</w:t>
            </w:r>
          </w:p>
        </w:tc>
      </w:tr>
      <w:tr w14:paraId="6F449BA5">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14:paraId="78ED82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编制单位：莆田市荔城区镇海街道办事处本级</w:t>
            </w:r>
          </w:p>
        </w:tc>
        <w:tc>
          <w:tcPr>
            <w:tcW w:w="21600" w:type="dxa"/>
            <w:noWrap w:val="0"/>
            <w:tcMar>
              <w:top w:w="20" w:type="dxa"/>
              <w:left w:w="108" w:type="dxa"/>
              <w:bottom w:w="20" w:type="dxa"/>
              <w:right w:w="108" w:type="dxa"/>
            </w:tcMar>
            <w:vAlign w:val="center"/>
          </w:tcPr>
          <w:p w14:paraId="28872F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4DD33639">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59FEC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 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368A0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7143D6B2">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2FBCF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D546A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F500F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46F51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EB65B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469774B9">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79D948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2706FA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5FEC86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FC4C21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C7996EC">
            <w:pPr>
              <w:rPr>
                <w:rFonts w:ascii="Times New Roman" w:hAnsi="Times New Roman" w:eastAsia="Times New Roman" w:cs="Times New Roman"/>
                <w:b w:val="0"/>
                <w:bCs w:val="0"/>
                <w:i w:val="0"/>
                <w:iCs w:val="0"/>
                <w:smallCaps w:val="0"/>
                <w:color w:val="000000"/>
                <w:kern w:val="0"/>
                <w:sz w:val="26"/>
                <w:szCs w:val="26"/>
              </w:rPr>
            </w:pPr>
          </w:p>
        </w:tc>
      </w:tr>
      <w:tr w14:paraId="38FEEAF0">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5ADB5E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F9D725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78D175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5185CF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F99B5C4">
            <w:pPr>
              <w:rPr>
                <w:rFonts w:ascii="Times New Roman" w:hAnsi="Times New Roman" w:eastAsia="Times New Roman" w:cs="Times New Roman"/>
                <w:b w:val="0"/>
                <w:bCs w:val="0"/>
                <w:i w:val="0"/>
                <w:iCs w:val="0"/>
                <w:smallCaps w:val="0"/>
                <w:color w:val="000000"/>
                <w:kern w:val="0"/>
                <w:sz w:val="26"/>
                <w:szCs w:val="26"/>
              </w:rPr>
            </w:pPr>
          </w:p>
        </w:tc>
      </w:tr>
      <w:tr w14:paraId="7BC0D517">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110D2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C8973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AD470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52F8F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r>
      <w:tr w14:paraId="21B02E85">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D8FB0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8145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0FA5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0D48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B6B109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7A5B6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5AA1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78A0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F624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5BD8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35DBACE9">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14:paraId="5197BB19">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注：1.本表反映单位本年度国有资本经营预算财政拨款支出情况</w:t>
            </w:r>
          </w:p>
        </w:tc>
      </w:tr>
      <w:tr w14:paraId="6B051B34">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14:paraId="555CD5E7">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2.本单位2024年度没有使用国有资本经营预算财政拨款安排的支出</w:t>
            </w:r>
          </w:p>
        </w:tc>
      </w:tr>
    </w:tbl>
    <w:p w14:paraId="59DD6749">
      <w:pPr>
        <w:sectPr>
          <w:footerReference r:id="rId16" w:type="default"/>
          <w:pgSz w:w="16383" w:h="11906" w:orient="landscape"/>
          <w:pgMar w:top="1134" w:right="720" w:bottom="1134" w:left="720" w:header="720" w:footer="720" w:gutter="0"/>
          <w:cols w:space="720" w:num="1"/>
        </w:sectPr>
      </w:pPr>
      <w:r>
        <w:rPr>
          <w:rFonts w:ascii="宋体" w:hAnsi="宋体" w:cs="宋体"/>
          <w:b w:val="0"/>
          <w:bCs w:val="0"/>
          <w:kern w:val="0"/>
          <w:sz w:val="24"/>
        </w:rPr>
        <w:t>3</w:t>
      </w:r>
      <w:r>
        <w:rPr>
          <w:rFonts w:ascii="宋体" w:hAnsi="宋体" w:cs="宋体"/>
          <w:b w:val="0"/>
          <w:bCs w:val="0"/>
          <w:kern w:val="0"/>
          <w:sz w:val="23"/>
          <w:szCs w:val="23"/>
        </w:rPr>
        <w:t>.没有国有资本经营预算财政拨款支出的部门请在表格中填“0”。</w:t>
      </w:r>
    </w:p>
    <w:p w14:paraId="20BBBAA3">
      <w:pPr>
        <w:pStyle w:val="28"/>
        <w:widowControl/>
        <w:spacing w:before="100" w:after="100"/>
        <w:ind w:left="100" w:right="100" w:firstLine="0"/>
        <w:jc w:val="left"/>
        <w:rPr>
          <w:rFonts w:ascii="Times New Roman" w:hAnsi="Times New Roman" w:eastAsia="Times New Roman" w:cs="Times New Roman"/>
          <w:b w:val="0"/>
          <w:bCs w:val="0"/>
          <w:kern w:val="0"/>
          <w:sz w:val="24"/>
        </w:rPr>
      </w:pPr>
      <w:r>
        <w:rPr>
          <w:rFonts w:ascii="宋体" w:hAnsi="宋体" w:cs="宋体"/>
          <w:b w:val="0"/>
          <w:bCs w:val="0"/>
          <w:kern w:val="0"/>
          <w:sz w:val="24"/>
        </w:rPr>
        <w:t xml:space="preserve">  </w:t>
      </w:r>
    </w:p>
    <w:p w14:paraId="12C9F3CD">
      <w:pPr>
        <w:pStyle w:val="28"/>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3"/>
          <w:szCs w:val="23"/>
        </w:rPr>
        <w:t>  </w:t>
      </w:r>
    </w:p>
    <w:p w14:paraId="458A171F">
      <w:pPr>
        <w:pStyle w:val="29"/>
        <w:widowControl/>
        <w:spacing w:before="240" w:after="240"/>
        <w:jc w:val="left"/>
        <w:rPr>
          <w:rFonts w:ascii="Times New Roman" w:hAnsi="Times New Roman" w:eastAsia="Times New Roman" w:cs="Times New Roman"/>
          <w:kern w:val="0"/>
          <w:sz w:val="24"/>
        </w:rPr>
      </w:pPr>
      <w:r>
        <w:rPr>
          <w:rFonts w:ascii="黑体" w:hAnsi="黑体" w:eastAsia="黑体" w:cs="黑体"/>
          <w:spacing w:val="0"/>
          <w:kern w:val="0"/>
          <w:sz w:val="56"/>
          <w:szCs w:val="56"/>
        </w:rPr>
        <w:t> </w:t>
      </w:r>
    </w:p>
    <w:p w14:paraId="6FF58787">
      <w:pPr>
        <w:pStyle w:val="29"/>
        <w:widowControl/>
        <w:spacing w:before="240" w:after="240"/>
        <w:jc w:val="left"/>
        <w:rPr>
          <w:rFonts w:ascii="Times New Roman" w:hAnsi="Times New Roman" w:eastAsia="Times New Roman" w:cs="Times New Roman"/>
          <w:kern w:val="0"/>
          <w:sz w:val="24"/>
        </w:rPr>
      </w:pPr>
    </w:p>
    <w:p w14:paraId="6AC6B6FF">
      <w:pPr>
        <w:pStyle w:val="29"/>
        <w:widowControl/>
        <w:spacing w:before="240" w:after="240"/>
        <w:jc w:val="left"/>
        <w:rPr>
          <w:rFonts w:ascii="Times New Roman" w:hAnsi="Times New Roman" w:eastAsia="Times New Roman" w:cs="Times New Roman"/>
          <w:kern w:val="0"/>
          <w:sz w:val="24"/>
        </w:rPr>
      </w:pPr>
    </w:p>
    <w:p w14:paraId="3ECD7EEA">
      <w:pPr>
        <w:pStyle w:val="29"/>
        <w:widowControl/>
        <w:spacing w:before="240" w:after="240"/>
        <w:jc w:val="left"/>
        <w:rPr>
          <w:rFonts w:ascii="Times New Roman" w:hAnsi="Times New Roman" w:eastAsia="Times New Roman" w:cs="Times New Roman"/>
          <w:kern w:val="0"/>
          <w:sz w:val="24"/>
        </w:rPr>
      </w:pPr>
    </w:p>
    <w:p w14:paraId="75534111">
      <w:pPr>
        <w:pStyle w:val="29"/>
        <w:widowControl/>
        <w:spacing w:before="240" w:after="240"/>
        <w:jc w:val="left"/>
        <w:rPr>
          <w:rFonts w:ascii="Times New Roman" w:hAnsi="Times New Roman" w:eastAsia="Times New Roman" w:cs="Times New Roman"/>
          <w:kern w:val="0"/>
          <w:sz w:val="24"/>
        </w:rPr>
      </w:pPr>
    </w:p>
    <w:p w14:paraId="016CF7AA">
      <w:pPr>
        <w:pStyle w:val="29"/>
        <w:widowControl/>
        <w:spacing w:before="240" w:after="240"/>
        <w:jc w:val="left"/>
        <w:rPr>
          <w:rFonts w:ascii="Times New Roman" w:hAnsi="Times New Roman" w:eastAsia="Times New Roman" w:cs="Times New Roman"/>
          <w:kern w:val="0"/>
          <w:sz w:val="24"/>
        </w:rPr>
      </w:pPr>
    </w:p>
    <w:p w14:paraId="42ACBCB0">
      <w:pPr>
        <w:pStyle w:val="29"/>
        <w:widowControl/>
        <w:spacing w:before="240" w:after="240"/>
        <w:jc w:val="left"/>
        <w:rPr>
          <w:rFonts w:ascii="Times New Roman" w:hAnsi="Times New Roman" w:eastAsia="Times New Roman" w:cs="Times New Roman"/>
          <w:kern w:val="0"/>
          <w:sz w:val="24"/>
        </w:rPr>
      </w:pPr>
    </w:p>
    <w:p w14:paraId="1F673F98">
      <w:pPr>
        <w:pStyle w:val="29"/>
        <w:widowControl/>
        <w:spacing w:before="240" w:after="240"/>
        <w:jc w:val="left"/>
        <w:rPr>
          <w:rFonts w:ascii="Times New Roman" w:hAnsi="Times New Roman" w:eastAsia="Times New Roman" w:cs="Times New Roman"/>
          <w:kern w:val="0"/>
          <w:sz w:val="24"/>
        </w:rPr>
      </w:pPr>
    </w:p>
    <w:p w14:paraId="234359EC">
      <w:pPr>
        <w:pStyle w:val="29"/>
        <w:widowControl/>
        <w:spacing w:before="240" w:after="240"/>
        <w:jc w:val="left"/>
        <w:rPr>
          <w:rFonts w:ascii="Times New Roman" w:hAnsi="Times New Roman" w:eastAsia="Times New Roman" w:cs="Times New Roman"/>
          <w:kern w:val="0"/>
          <w:sz w:val="24"/>
        </w:rPr>
      </w:pPr>
    </w:p>
    <w:p w14:paraId="4A27261F">
      <w:pPr>
        <w:pStyle w:val="29"/>
        <w:widowControl/>
        <w:spacing w:before="240" w:after="240"/>
        <w:jc w:val="left"/>
        <w:rPr>
          <w:rFonts w:ascii="Times New Roman" w:hAnsi="Times New Roman" w:eastAsia="Times New Roman" w:cs="Times New Roman"/>
          <w:kern w:val="0"/>
          <w:sz w:val="24"/>
        </w:rPr>
      </w:pPr>
    </w:p>
    <w:p w14:paraId="0871CEA8">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85" w:name="_Toc256000120"/>
      <w:bookmarkStart w:id="86" w:name="_Toc256000069"/>
      <w:bookmarkStart w:id="87" w:name="_Toc256000015"/>
      <w:bookmarkStart w:id="88" w:name="_Toc256000147"/>
      <w:bookmarkStart w:id="89" w:name="_Toc256000093"/>
      <w:bookmarkStart w:id="90" w:name="_Toc256000042"/>
      <w:r>
        <w:rPr>
          <w:rFonts w:ascii="黑体" w:hAnsi="黑体" w:eastAsia="黑体" w:cs="黑体"/>
          <w:b w:val="0"/>
          <w:bCs w:val="0"/>
          <w:spacing w:val="0"/>
          <w:sz w:val="56"/>
          <w:szCs w:val="56"/>
        </w:rPr>
        <w:t>第三部分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2024年度单位决算情况说明</w:t>
      </w:r>
      <w:bookmarkEnd w:id="85"/>
      <w:bookmarkEnd w:id="86"/>
      <w:bookmarkEnd w:id="87"/>
      <w:bookmarkEnd w:id="88"/>
      <w:bookmarkEnd w:id="89"/>
      <w:bookmarkEnd w:id="90"/>
    </w:p>
    <w:p w14:paraId="7671BB26">
      <w:pPr>
        <w:sectPr>
          <w:footerReference r:id="rId17" w:type="default"/>
          <w:pgSz w:w="11906" w:h="16838"/>
          <w:pgMar w:top="1440" w:right="720" w:bottom="1440" w:left="720" w:header="720" w:footer="720" w:gutter="0"/>
          <w:cols w:space="720" w:num="1"/>
        </w:sectPr>
      </w:pPr>
    </w:p>
    <w:p w14:paraId="378965EE">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5CADCA17">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91" w:name="_Toc256000148"/>
      <w:bookmarkStart w:id="92" w:name="_Toc256000121"/>
      <w:bookmarkStart w:id="93" w:name="_Toc256000016"/>
      <w:bookmarkStart w:id="94" w:name="_Toc256000070"/>
      <w:bookmarkStart w:id="95" w:name="_Toc256000094"/>
      <w:bookmarkStart w:id="96" w:name="_Toc256000043"/>
      <w:r>
        <w:rPr>
          <w:rFonts w:ascii="黑体" w:hAnsi="黑体" w:eastAsia="黑体" w:cs="黑体"/>
          <w:b w:val="0"/>
          <w:bCs w:val="0"/>
          <w:spacing w:val="0"/>
        </w:rPr>
        <w:t>一、收入支出决算总体情况说明</w:t>
      </w:r>
      <w:bookmarkEnd w:id="91"/>
      <w:bookmarkEnd w:id="92"/>
      <w:bookmarkEnd w:id="93"/>
      <w:bookmarkEnd w:id="94"/>
      <w:bookmarkEnd w:id="95"/>
      <w:bookmarkEnd w:id="96"/>
    </w:p>
    <w:p w14:paraId="661EA86E">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（一）收入支出决算总体情况说明</w:t>
      </w:r>
    </w:p>
    <w:p w14:paraId="5949B557">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2024年度本单位收入总计35,706.12万元，支出总计35,706.12万元，与上年决算数相比，各增加15,471.80万元，各</w:t>
      </w:r>
      <w:r>
        <w:rPr>
          <w:rFonts w:ascii="仿宋_GB2312" w:hAnsi="仿宋_GB2312" w:eastAsia="仿宋_GB2312" w:cs="仿宋_GB2312"/>
          <w:kern w:val="0"/>
          <w:sz w:val="32"/>
          <w:szCs w:val="32"/>
        </w:rPr>
        <w:t>增长</w:t>
      </w:r>
      <w:r>
        <w:rPr>
          <w:rFonts w:ascii="仿宋_GB2312" w:hAnsi="仿宋_GB2312" w:eastAsia="仿宋_GB2312" w:cs="仿宋_GB2312"/>
          <w:spacing w:val="0"/>
          <w:kern w:val="0"/>
          <w:sz w:val="32"/>
          <w:szCs w:val="32"/>
        </w:rPr>
        <w:t>76.46%。主要是行政人员变动及专项资金增加。</w:t>
      </w:r>
    </w:p>
    <w:p w14:paraId="2DBDFF55">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（二）收入决算情况说明</w:t>
      </w:r>
    </w:p>
    <w:p w14:paraId="49877943">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2024年度收入35,706.12万元，比上年决算数</w:t>
      </w:r>
      <w:r>
        <w:rPr>
          <w:rFonts w:ascii="仿宋_GB2312" w:hAnsi="仿宋_GB2312" w:eastAsia="仿宋_GB2312" w:cs="仿宋_GB2312"/>
          <w:kern w:val="0"/>
          <w:sz w:val="32"/>
          <w:szCs w:val="32"/>
        </w:rPr>
        <w:t>增加</w:t>
      </w:r>
      <w:r>
        <w:rPr>
          <w:rFonts w:ascii="仿宋_GB2312" w:hAnsi="仿宋_GB2312" w:eastAsia="仿宋_GB2312" w:cs="仿宋_GB2312"/>
          <w:spacing w:val="0"/>
          <w:kern w:val="0"/>
          <w:sz w:val="32"/>
          <w:szCs w:val="32"/>
        </w:rPr>
        <w:t>15,582.12万元，</w:t>
      </w:r>
      <w:r>
        <w:rPr>
          <w:rFonts w:ascii="仿宋_GB2312" w:hAnsi="仿宋_GB2312" w:eastAsia="仿宋_GB2312" w:cs="仿宋_GB2312"/>
          <w:kern w:val="0"/>
          <w:sz w:val="32"/>
          <w:szCs w:val="32"/>
        </w:rPr>
        <w:t>增长</w:t>
      </w:r>
      <w:r>
        <w:rPr>
          <w:rFonts w:ascii="仿宋_GB2312" w:hAnsi="仿宋_GB2312" w:eastAsia="仿宋_GB2312" w:cs="仿宋_GB2312"/>
          <w:spacing w:val="0"/>
          <w:kern w:val="0"/>
          <w:sz w:val="32"/>
          <w:szCs w:val="32"/>
        </w:rPr>
        <w:t>77.43%，具体情况如下：</w:t>
      </w:r>
    </w:p>
    <w:p w14:paraId="4F3396FF">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1.一般公共预算财政拨款收入2,396.11万元。</w:t>
      </w:r>
    </w:p>
    <w:p w14:paraId="1114860E">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2.政府性基金预算财政拨款收入33,310.01万元。</w:t>
      </w:r>
    </w:p>
    <w:p w14:paraId="2E919A91">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3.国有资本经营预算财政拨款收入0万元。</w:t>
      </w:r>
    </w:p>
    <w:p w14:paraId="77E49856">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4.上级补助收入0万元。</w:t>
      </w:r>
    </w:p>
    <w:p w14:paraId="69A3CAE1">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5.事业收入0万元。</w:t>
      </w:r>
    </w:p>
    <w:p w14:paraId="4888280E">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6.经营收入0万元。</w:t>
      </w:r>
    </w:p>
    <w:p w14:paraId="09DD76E9">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7.附属单位上缴收入0万元。</w:t>
      </w:r>
    </w:p>
    <w:p w14:paraId="6FA83303">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8.其他收入0万元。</w:t>
      </w:r>
    </w:p>
    <w:p w14:paraId="3ED3153C">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（三）支出决算情况说明</w:t>
      </w:r>
    </w:p>
    <w:p w14:paraId="74DEDAC6">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2024年度支出35,706.12万元，比上年决算数增加15,471.80万元，增长76.46%，具体情况如下：</w:t>
      </w:r>
    </w:p>
    <w:p w14:paraId="3DC279CA">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1.基本支出551.72万元。其中，人员支出397.91万元，公用支出153.81万元。</w:t>
      </w:r>
    </w:p>
    <w:p w14:paraId="5377502F">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2.项目支出35,154.40万元。</w:t>
      </w:r>
    </w:p>
    <w:p w14:paraId="08D6580B">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3.上缴上级支出0万元。</w:t>
      </w:r>
    </w:p>
    <w:p w14:paraId="4F7A2C95">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4.经营支出0万元。</w:t>
      </w:r>
    </w:p>
    <w:p w14:paraId="43B32A4F">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5.对附属单位补助支出0万元。</w:t>
      </w:r>
    </w:p>
    <w:p w14:paraId="558B8D67">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97" w:name="_Toc256000122"/>
      <w:bookmarkStart w:id="98" w:name="_Toc256000095"/>
      <w:bookmarkStart w:id="99" w:name="_Toc256000071"/>
      <w:bookmarkStart w:id="100" w:name="_Toc256000149"/>
      <w:bookmarkStart w:id="101" w:name="_Toc256000017"/>
      <w:bookmarkStart w:id="102" w:name="_Toc256000044"/>
      <w:r>
        <w:rPr>
          <w:rFonts w:ascii="黑体" w:hAnsi="黑体" w:eastAsia="黑体" w:cs="黑体"/>
          <w:b w:val="0"/>
          <w:bCs w:val="0"/>
          <w:spacing w:val="0"/>
        </w:rPr>
        <w:t>二、财政拨款收入支出决算总体情况说明</w:t>
      </w:r>
      <w:bookmarkEnd w:id="97"/>
      <w:bookmarkEnd w:id="98"/>
      <w:bookmarkEnd w:id="99"/>
      <w:bookmarkEnd w:id="100"/>
      <w:bookmarkEnd w:id="101"/>
      <w:bookmarkEnd w:id="102"/>
    </w:p>
    <w:p w14:paraId="2822F3E1">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2024年度财政拨款收入总计35,706.12万元，支出总计35,706.12万元，与上年决算数相比，各增加15,471.80万元，增长76.46%，主要是：行政人员变动及专项资金增加。</w:t>
      </w:r>
    </w:p>
    <w:p w14:paraId="536248D1">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3" w:name="_Toc256000123"/>
      <w:bookmarkStart w:id="104" w:name="_Toc256000045"/>
      <w:bookmarkStart w:id="105" w:name="_Toc256000072"/>
      <w:bookmarkStart w:id="106" w:name="_Toc256000150"/>
      <w:bookmarkStart w:id="107" w:name="_Toc256000018"/>
      <w:bookmarkStart w:id="108" w:name="_Toc256000096"/>
      <w:r>
        <w:rPr>
          <w:rFonts w:ascii="黑体" w:hAnsi="黑体" w:eastAsia="黑体" w:cs="黑体"/>
          <w:b w:val="0"/>
          <w:bCs w:val="0"/>
          <w:spacing w:val="0"/>
        </w:rPr>
        <w:t>三、一般公共预算财政拨款支出决算情况说明</w:t>
      </w:r>
      <w:bookmarkEnd w:id="103"/>
      <w:bookmarkEnd w:id="104"/>
      <w:bookmarkEnd w:id="105"/>
      <w:bookmarkEnd w:id="106"/>
      <w:bookmarkEnd w:id="107"/>
      <w:bookmarkEnd w:id="108"/>
    </w:p>
    <w:p w14:paraId="0CF9D0FF">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2024年一般公共预算财政拨款支出2,396.11万元，比上年决算数减少2,093.89万元，下降46.63%，具体情况如下(按</w:t>
      </w:r>
      <w:r>
        <w:rPr>
          <w:rStyle w:val="30"/>
          <w:rFonts w:ascii="仿宋_GB2312" w:hAnsi="仿宋_GB2312" w:eastAsia="仿宋_GB2312" w:cs="仿宋_GB2312"/>
          <w:b/>
          <w:bCs/>
          <w:spacing w:val="0"/>
          <w:kern w:val="0"/>
          <w:sz w:val="32"/>
          <w:szCs w:val="32"/>
        </w:rPr>
        <w:t>项级科目</w:t>
      </w:r>
      <w:r>
        <w:rPr>
          <w:rFonts w:ascii="仿宋_GB2312" w:hAnsi="仿宋_GB2312" w:eastAsia="仿宋_GB2312" w:cs="仿宋_GB2312"/>
          <w:spacing w:val="0"/>
          <w:kern w:val="0"/>
          <w:sz w:val="32"/>
          <w:szCs w:val="32"/>
        </w:rPr>
        <w:t>分类统计)：</w:t>
      </w:r>
    </w:p>
    <w:p w14:paraId="67EC6B51">
      <w:pPr>
        <w:pStyle w:val="29"/>
        <w:widowControl/>
        <w:spacing w:before="100" w:after="100" w:line="560" w:lineRule="atLeast"/>
        <w:ind w:left="100" w:right="100" w:firstLine="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  （一）2010301 行政运行 306.85万元，较上年决算数减少52.15万元，下降14.53%。主要原因是本年度单位在编在职总人数变动，行政运行经费减少。</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  （二）2010399 其他政府办公厅（室）及相关机构事务支出 128.36万元，较上年决算数增加128.36万元。主要原因是本年度本科目专项资金增加。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  （三）2013199 其他党委办公厅（室）及相关机构事务支出 10.00万元，较上年决算数增加10.00万元。主要原因是本年度本科目专项资金增加。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  （四）2040399 其他国家安全支出 99.12万元，较上年决算数减少166.88万元，下降62.74%。主要原因是本年度本科目专项资金减少。</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  （五）2070305 体育竞赛 509.33万元，较上年决算数增加509.33万元。主要原因是本年度本科目专项资金增加。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  （六）2079999 其他文化旅游体育与传媒支出 300.00万元，较上年决算数增加300.00万元。主要原因是本年度本科目专项资金增加。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  （七）2080199 其他人力资源和社会保障管理事务支出 3.59万元，较上年决算数减少4.41万元，下降55.12%。主要原因是本年度本科目专项资金减少。</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  （八）2080501 行政单位离退休 11.64万元，较上年决算数增加5.64万元，增长94.07%。主要原因是本年度离退休人员变化。</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  （九）2080505 机关事业单位基本养老保险缴费支出 36.42万元，较上年决算数减少14.58万元，下降28.59%。主要原因是本年度单位在编在职总人数变动。</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  （十）2101101 行政单位医疗 11.95万元，较上年决算数减少4.05万元，下降25.29%。主要原因是本年度单位在编在职总人数变动。</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  （十一）2120199 其他城乡社区管理事务支出 65.34万元，较上年决算数减少1,134.66万元，下降94.56%。主要原因是本年度本科目专项资金减少。</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  （十二）2129999 其他城乡社区支出 467.00万元，较上年决算数增加467.00万元。主要原因是本年度本科目专项资金增加。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  （十三）2130705 对村民委员会和村党支部的补助 363.59万元，较上年决算数减少66.41万元，下降15.44%。主要原因是本年度无往年结余资金支出。</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  （十四）2140112 公路运输管理 13.20万元，较上年决算数增加0.20万元，增长1.54%。主要原因是本年度本科目专项资金增加。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  （十五）2210201 住房公积金 39.70万元，较上年决算数减少10.31万元，下降20.61%。主要原因是本年度单位在编在职总人数变动。</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  （十六）2240299 其他消防救援事务支出 30.00万元，较上年决算数增加30.00万元。主要原因是本年度本科目专项资金增加。</w:t>
      </w:r>
    </w:p>
    <w:p w14:paraId="55447293">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9" w:name="_Toc256000151"/>
      <w:bookmarkStart w:id="110" w:name="_Toc256000019"/>
      <w:bookmarkStart w:id="111" w:name="_Toc256000046"/>
      <w:bookmarkStart w:id="112" w:name="_Toc256000097"/>
      <w:bookmarkStart w:id="113" w:name="_Toc256000124"/>
      <w:bookmarkStart w:id="114" w:name="_Toc256000073"/>
      <w:r>
        <w:rPr>
          <w:rFonts w:ascii="黑体" w:hAnsi="黑体" w:eastAsia="黑体" w:cs="黑体"/>
          <w:b w:val="0"/>
          <w:bCs w:val="0"/>
          <w:spacing w:val="0"/>
        </w:rPr>
        <w:t>四、政府性基金预算财政拨款支出决算情况说明</w:t>
      </w:r>
      <w:bookmarkEnd w:id="109"/>
      <w:bookmarkEnd w:id="110"/>
      <w:bookmarkEnd w:id="111"/>
      <w:bookmarkEnd w:id="112"/>
      <w:bookmarkEnd w:id="113"/>
      <w:bookmarkEnd w:id="114"/>
    </w:p>
    <w:p w14:paraId="558A3EA3">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2024年度政府性基金支出33,310.01万元，比上年决算数增加17,565.70万元，增长111.57%，具体情况如下(按</w:t>
      </w:r>
      <w:r>
        <w:rPr>
          <w:rFonts w:ascii="仿宋_GB2312" w:hAnsi="仿宋_GB2312" w:eastAsia="仿宋_GB2312" w:cs="仿宋_GB2312"/>
          <w:b/>
          <w:bCs/>
          <w:spacing w:val="0"/>
          <w:kern w:val="0"/>
          <w:sz w:val="32"/>
          <w:szCs w:val="32"/>
        </w:rPr>
        <w:t>项级科目</w:t>
      </w:r>
      <w:r>
        <w:rPr>
          <w:rFonts w:ascii="仿宋_GB2312" w:hAnsi="仿宋_GB2312" w:eastAsia="仿宋_GB2312" w:cs="仿宋_GB2312"/>
          <w:spacing w:val="0"/>
          <w:kern w:val="0"/>
          <w:sz w:val="32"/>
          <w:szCs w:val="32"/>
        </w:rPr>
        <w:t>统计)：</w:t>
      </w:r>
    </w:p>
    <w:p w14:paraId="2DDFAAAA">
      <w:pPr>
        <w:pStyle w:val="29"/>
        <w:widowControl/>
        <w:spacing w:before="100" w:after="100" w:line="560" w:lineRule="atLeast"/>
        <w:ind w:left="100" w:right="100" w:firstLine="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  （一）2120801 征地和拆迁补偿支出 30,124.01万元，较上年决算数增加27,079.70万元，增长889.52%。主要原因是本年度本科目专项资金增加。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  （二）2290402 其他地方自行试点项目收益专项债券收入安排的支出 3,186.00万元，较上年决算数减少3,514.00万元，下降52.45%。主要原因是本年度本科目专项资金减少。</w:t>
      </w:r>
    </w:p>
    <w:p w14:paraId="32789A9A">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15" w:name="_Toc256000020"/>
      <w:bookmarkStart w:id="116" w:name="_Toc256000098"/>
      <w:bookmarkStart w:id="117" w:name="_Toc256000125"/>
      <w:bookmarkStart w:id="118" w:name="_Toc256000047"/>
      <w:bookmarkStart w:id="119" w:name="_Toc256000152"/>
      <w:bookmarkStart w:id="120" w:name="_Toc256000074"/>
      <w:r>
        <w:rPr>
          <w:rFonts w:ascii="黑体" w:hAnsi="黑体" w:eastAsia="黑体" w:cs="黑体"/>
          <w:b w:val="0"/>
          <w:bCs w:val="0"/>
          <w:spacing w:val="0"/>
        </w:rPr>
        <w:t>五、国有资本经营预算财政拨款支出决算情况说明</w:t>
      </w:r>
      <w:bookmarkEnd w:id="115"/>
      <w:bookmarkEnd w:id="116"/>
      <w:bookmarkEnd w:id="117"/>
      <w:bookmarkEnd w:id="118"/>
      <w:bookmarkEnd w:id="119"/>
      <w:bookmarkEnd w:id="120"/>
    </w:p>
    <w:p w14:paraId="4EA2A906">
      <w:pPr>
        <w:pStyle w:val="29"/>
        <w:widowControl/>
        <w:spacing w:before="100" w:after="100" w:line="560" w:lineRule="atLeast"/>
        <w:ind w:right="100" w:firstLine="640" w:firstLineChars="200"/>
        <w:jc w:val="left"/>
        <w:rPr>
          <w:rFonts w:ascii="Times New Roman" w:hAnsi="Times New Roman" w:eastAsia="Times New Roman" w:cs="Times New Roman"/>
          <w:kern w:val="0"/>
          <w:sz w:val="24"/>
        </w:rPr>
      </w:pPr>
      <w:bookmarkStart w:id="121" w:name="_Toc256000048"/>
      <w:bookmarkStart w:id="122" w:name="_Toc256000099"/>
      <w:bookmarkStart w:id="123" w:name="_Toc256000153"/>
      <w:bookmarkStart w:id="124" w:name="_Toc256000075"/>
      <w:bookmarkStart w:id="125" w:name="_Toc256000021"/>
      <w:bookmarkStart w:id="126" w:name="_Toc256000126"/>
      <w:r>
        <w:rPr>
          <w:rFonts w:ascii="仿宋_GB2312" w:hAnsi="仿宋_GB2312" w:eastAsia="仿宋_GB2312" w:cs="仿宋_GB2312"/>
          <w:spacing w:val="0"/>
          <w:kern w:val="0"/>
          <w:sz w:val="32"/>
          <w:szCs w:val="32"/>
        </w:rPr>
        <w:t>2024年度国有资本经营预算支出0万元，比上年决算数增加0万元，</w:t>
      </w:r>
      <w:r>
        <w:rPr>
          <w:rFonts w:hint="eastAsia" w:ascii="仿宋_GB2312" w:hAnsi="仿宋_GB2312" w:eastAsia="仿宋_GB2312" w:cs="仿宋_GB2312"/>
          <w:spacing w:val="0"/>
          <w:kern w:val="0"/>
          <w:sz w:val="32"/>
          <w:szCs w:val="32"/>
          <w:lang w:eastAsia="zh-CN"/>
        </w:rPr>
        <w:t>增长</w:t>
      </w:r>
      <w:r>
        <w:rPr>
          <w:rFonts w:hint="eastAsia" w:ascii="仿宋_GB2312" w:hAnsi="仿宋_GB2312" w:eastAsia="仿宋_GB2312" w:cs="仿宋_GB2312"/>
          <w:spacing w:val="0"/>
          <w:kern w:val="0"/>
          <w:sz w:val="32"/>
          <w:szCs w:val="32"/>
          <w:lang w:val="en-US" w:eastAsia="zh-CN"/>
        </w:rPr>
        <w:t>0%。</w:t>
      </w:r>
      <w:r>
        <w:rPr>
          <w:rFonts w:hint="eastAsia" w:ascii="仿宋_GB2312" w:hAnsi="仿宋_GB2312" w:eastAsia="仿宋_GB2312" w:cs="仿宋_GB2312"/>
          <w:spacing w:val="0"/>
          <w:kern w:val="0"/>
          <w:sz w:val="32"/>
          <w:szCs w:val="32"/>
          <w:lang w:eastAsia="zh-CN"/>
        </w:rPr>
        <w:t>与上年持平，主要原因是</w:t>
      </w:r>
      <w:r>
        <w:rPr>
          <w:rFonts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单位</w:t>
      </w:r>
      <w:r>
        <w:rPr>
          <w:rFonts w:ascii="仿宋_GB2312" w:hAnsi="仿宋_GB2312" w:eastAsia="仿宋_GB2312" w:cs="仿宋_GB2312"/>
          <w:kern w:val="0"/>
          <w:sz w:val="32"/>
          <w:szCs w:val="32"/>
        </w:rPr>
        <w:t>2024年度没有使用国有资本经营预算财政拨款安排的支出。</w:t>
      </w:r>
    </w:p>
    <w:p w14:paraId="42073E0B">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r>
        <w:rPr>
          <w:rFonts w:ascii="黑体" w:hAnsi="黑体" w:eastAsia="黑体" w:cs="黑体"/>
          <w:b w:val="0"/>
          <w:bCs w:val="0"/>
          <w:spacing w:val="0"/>
        </w:rPr>
        <w:t>六、一般公共预算财政拨款基本支出决算情况说明</w:t>
      </w:r>
      <w:bookmarkEnd w:id="121"/>
      <w:bookmarkEnd w:id="122"/>
      <w:bookmarkEnd w:id="123"/>
      <w:bookmarkEnd w:id="124"/>
      <w:bookmarkEnd w:id="125"/>
      <w:bookmarkEnd w:id="126"/>
    </w:p>
    <w:p w14:paraId="03A365A0">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2024年度一般公共预算财政拨款基本支出551.72万元，其中：</w:t>
      </w:r>
    </w:p>
    <w:p w14:paraId="42EB38AF">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人员经费397.91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77440521">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用经费153.81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55DF7CD8">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7" w:name="_Toc256000100"/>
      <w:bookmarkStart w:id="128" w:name="_Toc256000076"/>
      <w:bookmarkStart w:id="129" w:name="_Toc256000049"/>
      <w:bookmarkStart w:id="130" w:name="_Toc256000022"/>
      <w:bookmarkStart w:id="131" w:name="_Toc256000154"/>
      <w:bookmarkStart w:id="132" w:name="_Toc256000127"/>
      <w:r>
        <w:rPr>
          <w:rFonts w:ascii="黑体" w:hAnsi="黑体" w:eastAsia="黑体" w:cs="黑体"/>
          <w:b w:val="0"/>
          <w:bCs w:val="0"/>
          <w:spacing w:val="0"/>
        </w:rPr>
        <w:t>七、一般公共预算拨款“三公”经费支出决算情况说明</w:t>
      </w:r>
      <w:bookmarkEnd w:id="127"/>
      <w:bookmarkEnd w:id="128"/>
      <w:bookmarkEnd w:id="129"/>
      <w:bookmarkEnd w:id="130"/>
      <w:bookmarkEnd w:id="131"/>
      <w:bookmarkEnd w:id="132"/>
    </w:p>
    <w:p w14:paraId="6CDB05B6">
      <w:pPr>
        <w:pStyle w:val="29"/>
        <w:widowControl/>
        <w:spacing w:before="100" w:after="100" w:line="560" w:lineRule="atLeast"/>
        <w:ind w:left="100" w:right="100" w:firstLine="640"/>
        <w:jc w:val="left"/>
        <w:rPr>
          <w:rFonts w:ascii="Times New Roman" w:hAnsi="Times New Roman" w:eastAsia="Times New Roman" w:cs="Times New Roman"/>
          <w:kern w:val="0"/>
          <w:sz w:val="24"/>
        </w:rPr>
      </w:pPr>
      <w:bookmarkStart w:id="133" w:name="_Toc256000101"/>
      <w:bookmarkStart w:id="134" w:name="_Toc256000128"/>
      <w:bookmarkStart w:id="135" w:name="_Toc256000050"/>
      <w:bookmarkStart w:id="136" w:name="_Toc256000023"/>
      <w:bookmarkStart w:id="137" w:name="_Toc256000155"/>
      <w:bookmarkStart w:id="138" w:name="_Toc256000077"/>
      <w:r>
        <w:rPr>
          <w:rFonts w:ascii="仿宋_GB2312" w:hAnsi="仿宋_GB2312" w:eastAsia="仿宋_GB2312" w:cs="仿宋_GB2312"/>
          <w:spacing w:val="0"/>
          <w:kern w:val="0"/>
          <w:sz w:val="32"/>
          <w:szCs w:val="32"/>
        </w:rPr>
        <w:t>2024年度一般公共预算拨款“三公”经费支出0万元，完成全年预算的0%</w:t>
      </w:r>
      <w:r>
        <w:rPr>
          <w:rFonts w:hint="eastAsia" w:ascii="仿宋_GB2312" w:hAnsi="仿宋_GB2312" w:eastAsia="仿宋_GB2312" w:cs="仿宋_GB2312"/>
          <w:spacing w:val="0"/>
          <w:kern w:val="0"/>
          <w:sz w:val="32"/>
          <w:szCs w:val="32"/>
          <w:lang w:eastAsia="zh-CN"/>
        </w:rPr>
        <w:t>，与全年预算的</w:t>
      </w:r>
      <w:r>
        <w:rPr>
          <w:rFonts w:hint="eastAsia" w:ascii="仿宋_GB2312" w:hAnsi="仿宋_GB2312" w:eastAsia="仿宋_GB2312" w:cs="仿宋_GB2312"/>
          <w:spacing w:val="0"/>
          <w:kern w:val="0"/>
          <w:sz w:val="32"/>
          <w:szCs w:val="32"/>
          <w:lang w:val="en-US" w:eastAsia="zh-CN"/>
        </w:rPr>
        <w:t>0.00万元</w:t>
      </w:r>
      <w:r>
        <w:rPr>
          <w:rFonts w:hint="eastAsia" w:ascii="仿宋_GB2312" w:hAnsi="仿宋_GB2312" w:eastAsia="仿宋_GB2312" w:cs="仿宋_GB2312"/>
          <w:spacing w:val="0"/>
          <w:kern w:val="0"/>
          <w:sz w:val="32"/>
          <w:szCs w:val="32"/>
          <w:lang w:eastAsia="zh-CN"/>
        </w:rPr>
        <w:t>持平</w:t>
      </w:r>
      <w:r>
        <w:rPr>
          <w:rFonts w:ascii="仿宋_GB2312" w:hAnsi="仿宋_GB2312" w:eastAsia="仿宋_GB2312" w:cs="仿宋_GB2312"/>
          <w:spacing w:val="0"/>
          <w:kern w:val="0"/>
          <w:sz w:val="32"/>
          <w:szCs w:val="32"/>
        </w:rPr>
        <w:t>；较上年减少0.35万元，下降100.00%</w:t>
      </w:r>
      <w:r>
        <w:rPr>
          <w:rFonts w:hint="eastAsia" w:ascii="仿宋_GB2312" w:hAnsi="仿宋_GB2312" w:eastAsia="仿宋_GB2312" w:cs="仿宋_GB2312"/>
          <w:spacing w:val="0"/>
          <w:kern w:val="0"/>
          <w:sz w:val="32"/>
          <w:szCs w:val="32"/>
          <w:lang w:eastAsia="zh-CN"/>
        </w:rPr>
        <w:t>，小于上年决算数</w:t>
      </w:r>
      <w:r>
        <w:rPr>
          <w:rFonts w:hint="eastAsia" w:ascii="仿宋_GB2312" w:hAnsi="仿宋_GB2312" w:eastAsia="仿宋_GB2312" w:cs="仿宋_GB2312"/>
          <w:spacing w:val="0"/>
          <w:kern w:val="0"/>
          <w:sz w:val="32"/>
          <w:szCs w:val="32"/>
          <w:lang w:val="en-US" w:eastAsia="zh-CN"/>
        </w:rPr>
        <w:t>。</w:t>
      </w:r>
      <w:r>
        <w:rPr>
          <w:rFonts w:ascii="仿宋_GB2312" w:hAnsi="仿宋_GB2312" w:eastAsia="仿宋_GB2312" w:cs="仿宋_GB2312"/>
          <w:spacing w:val="0"/>
          <w:kern w:val="0"/>
          <w:sz w:val="32"/>
          <w:szCs w:val="32"/>
        </w:rPr>
        <w:t>主要原因是本年无“三公”经费支出</w:t>
      </w:r>
      <w:r>
        <w:rPr>
          <w:rFonts w:ascii="仿宋_GB2312" w:hAnsi="仿宋_GB2312" w:eastAsia="仿宋_GB2312" w:cs="仿宋_GB2312"/>
          <w:kern w:val="0"/>
          <w:sz w:val="32"/>
          <w:szCs w:val="32"/>
        </w:rPr>
        <w:t>。</w:t>
      </w:r>
      <w:r>
        <w:rPr>
          <w:rFonts w:ascii="仿宋_GB2312" w:hAnsi="仿宋_GB2312" w:eastAsia="仿宋_GB2312" w:cs="仿宋_GB2312"/>
          <w:spacing w:val="0"/>
          <w:kern w:val="0"/>
          <w:sz w:val="32"/>
          <w:szCs w:val="32"/>
        </w:rPr>
        <w:t>具体情况如下：</w:t>
      </w:r>
    </w:p>
    <w:p w14:paraId="51F0F66E">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（一）因公出国（境）费支出0万元，完成全年预算的0%</w:t>
      </w:r>
      <w:r>
        <w:rPr>
          <w:rFonts w:hint="eastAsia" w:ascii="仿宋_GB2312" w:hAnsi="仿宋_GB2312" w:eastAsia="仿宋_GB2312" w:cs="仿宋_GB2312"/>
          <w:kern w:val="0"/>
          <w:sz w:val="32"/>
          <w:szCs w:val="32"/>
          <w:lang w:eastAsia="zh-CN"/>
        </w:rPr>
        <w:t>，与全年预算的</w:t>
      </w:r>
      <w:r>
        <w:rPr>
          <w:rFonts w:hint="eastAsia" w:ascii="仿宋_GB2312" w:hAnsi="仿宋_GB2312" w:eastAsia="仿宋_GB2312" w:cs="仿宋_GB2312"/>
          <w:kern w:val="0"/>
          <w:sz w:val="32"/>
          <w:szCs w:val="32"/>
          <w:lang w:val="en-US" w:eastAsia="zh-CN"/>
        </w:rPr>
        <w:t>0.00万元</w:t>
      </w:r>
      <w:r>
        <w:rPr>
          <w:rFonts w:hint="eastAsia" w:ascii="仿宋_GB2312" w:hAnsi="仿宋_GB2312" w:eastAsia="仿宋_GB2312" w:cs="仿宋_GB2312"/>
          <w:kern w:val="0"/>
          <w:sz w:val="32"/>
          <w:szCs w:val="32"/>
          <w:lang w:eastAsia="zh-CN"/>
        </w:rPr>
        <w:t>持平</w:t>
      </w:r>
      <w:r>
        <w:rPr>
          <w:rFonts w:ascii="仿宋_GB2312" w:hAnsi="仿宋_GB2312" w:eastAsia="仿宋_GB2312" w:cs="仿宋_GB2312"/>
          <w:kern w:val="0"/>
          <w:sz w:val="32"/>
          <w:szCs w:val="32"/>
        </w:rPr>
        <w:t>；较上年增加0万元，增长0%</w:t>
      </w:r>
      <w:r>
        <w:rPr>
          <w:rFonts w:hint="eastAsia" w:ascii="仿宋_GB2312" w:hAnsi="仿宋_GB2312" w:eastAsia="仿宋_GB2312" w:cs="仿宋_GB2312"/>
          <w:kern w:val="0"/>
          <w:sz w:val="32"/>
          <w:szCs w:val="32"/>
          <w:lang w:eastAsia="zh-CN"/>
        </w:rPr>
        <w:t>，与上年决算数持平</w:t>
      </w:r>
      <w:r>
        <w:rPr>
          <w:rFonts w:ascii="仿宋_GB2312" w:hAnsi="仿宋_GB2312" w:eastAsia="仿宋_GB2312" w:cs="仿宋_GB2312"/>
          <w:kern w:val="0"/>
          <w:sz w:val="32"/>
          <w:szCs w:val="32"/>
        </w:rPr>
        <w:t>。全年安排本部门组织的出国团组0个，参加其他部门出国团组0个；全年因公出国（境）累计0 人次。原因是本年无因公出国（境）费支出。</w:t>
      </w:r>
    </w:p>
    <w:p w14:paraId="315C1AD7">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（二）公务用车购置及运行费支出0万元，完成全年预算的0%</w:t>
      </w:r>
      <w:r>
        <w:rPr>
          <w:rFonts w:hint="eastAsia" w:ascii="仿宋_GB2312" w:hAnsi="仿宋_GB2312" w:eastAsia="仿宋_GB2312" w:cs="仿宋_GB2312"/>
          <w:spacing w:val="0"/>
          <w:kern w:val="0"/>
          <w:sz w:val="32"/>
          <w:szCs w:val="32"/>
          <w:lang w:eastAsia="zh-CN"/>
        </w:rPr>
        <w:t>，与全年预算</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lang w:val="en-US" w:eastAsia="zh-CN"/>
        </w:rPr>
        <w:t>0.00万元</w:t>
      </w:r>
      <w:r>
        <w:rPr>
          <w:rFonts w:hint="eastAsia" w:ascii="仿宋_GB2312" w:hAnsi="仿宋_GB2312" w:eastAsia="仿宋_GB2312" w:cs="仿宋_GB2312"/>
          <w:spacing w:val="0"/>
          <w:kern w:val="0"/>
          <w:sz w:val="32"/>
          <w:szCs w:val="32"/>
          <w:lang w:eastAsia="zh-CN"/>
        </w:rPr>
        <w:t>持平</w:t>
      </w:r>
      <w:r>
        <w:rPr>
          <w:rFonts w:ascii="仿宋_GB2312" w:hAnsi="仿宋_GB2312" w:eastAsia="仿宋_GB2312" w:cs="仿宋_GB2312"/>
          <w:spacing w:val="0"/>
          <w:kern w:val="0"/>
          <w:sz w:val="32"/>
          <w:szCs w:val="32"/>
        </w:rPr>
        <w:t>；较上年</w:t>
      </w:r>
      <w:r>
        <w:rPr>
          <w:rFonts w:ascii="仿宋_GB2312" w:hAnsi="仿宋_GB2312" w:eastAsia="仿宋_GB2312" w:cs="仿宋_GB2312"/>
          <w:kern w:val="0"/>
          <w:sz w:val="32"/>
          <w:szCs w:val="32"/>
        </w:rPr>
        <w:t>增加0万元，增长0%</w:t>
      </w:r>
      <w:r>
        <w:rPr>
          <w:rFonts w:hint="eastAsia" w:ascii="仿宋_GB2312" w:hAnsi="仿宋_GB2312" w:eastAsia="仿宋_GB2312" w:cs="仿宋_GB2312"/>
          <w:kern w:val="0"/>
          <w:sz w:val="32"/>
          <w:szCs w:val="32"/>
          <w:lang w:eastAsia="zh-CN"/>
        </w:rPr>
        <w:t>，与上年决算数持平</w:t>
      </w:r>
      <w:r>
        <w:rPr>
          <w:rFonts w:ascii="仿宋_GB2312" w:hAnsi="仿宋_GB2312" w:eastAsia="仿宋_GB2312" w:cs="仿宋_GB2312"/>
          <w:kern w:val="0"/>
          <w:sz w:val="32"/>
          <w:szCs w:val="32"/>
        </w:rPr>
        <w:t>。其中：</w:t>
      </w:r>
    </w:p>
    <w:p w14:paraId="3A89F1DC">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公务用车购置费支出0万元，完成全年预算的0%</w:t>
      </w:r>
      <w:r>
        <w:rPr>
          <w:rFonts w:hint="eastAsia" w:ascii="仿宋_GB2312" w:hAnsi="仿宋_GB2312" w:eastAsia="仿宋_GB2312" w:cs="仿宋_GB2312"/>
          <w:spacing w:val="0"/>
          <w:kern w:val="0"/>
          <w:sz w:val="32"/>
          <w:szCs w:val="32"/>
          <w:lang w:eastAsia="zh-CN"/>
        </w:rPr>
        <w:t>，与全年预算</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lang w:val="en-US" w:eastAsia="zh-CN"/>
        </w:rPr>
        <w:t>0.00万元</w:t>
      </w:r>
      <w:r>
        <w:rPr>
          <w:rFonts w:hint="eastAsia" w:ascii="仿宋_GB2312" w:hAnsi="仿宋_GB2312" w:eastAsia="仿宋_GB2312" w:cs="仿宋_GB2312"/>
          <w:spacing w:val="0"/>
          <w:kern w:val="0"/>
          <w:sz w:val="32"/>
          <w:szCs w:val="32"/>
          <w:lang w:eastAsia="zh-CN"/>
        </w:rPr>
        <w:t>持平</w:t>
      </w:r>
      <w:r>
        <w:rPr>
          <w:rFonts w:ascii="仿宋_GB2312" w:hAnsi="仿宋_GB2312" w:eastAsia="仿宋_GB2312" w:cs="仿宋_GB2312"/>
          <w:spacing w:val="0"/>
          <w:kern w:val="0"/>
          <w:sz w:val="32"/>
          <w:szCs w:val="32"/>
        </w:rPr>
        <w:t>；较上年增加0万元，增长0%</w:t>
      </w:r>
      <w:r>
        <w:rPr>
          <w:rFonts w:hint="eastAsia" w:ascii="仿宋_GB2312" w:hAnsi="仿宋_GB2312" w:eastAsia="仿宋_GB2312" w:cs="仿宋_GB2312"/>
          <w:spacing w:val="0"/>
          <w:kern w:val="0"/>
          <w:sz w:val="32"/>
          <w:szCs w:val="32"/>
          <w:lang w:eastAsia="zh-CN"/>
        </w:rPr>
        <w:t>，与上年决算数持平</w:t>
      </w:r>
      <w:r>
        <w:rPr>
          <w:rFonts w:ascii="仿宋_GB2312" w:hAnsi="仿宋_GB2312" w:eastAsia="仿宋_GB2312" w:cs="仿宋_GB2312"/>
          <w:spacing w:val="0"/>
          <w:kern w:val="0"/>
          <w:sz w:val="32"/>
          <w:szCs w:val="32"/>
        </w:rPr>
        <w:t>。2024年公务用车购置0辆，主要原因是本年无公务用车购置经费支出。</w:t>
      </w:r>
    </w:p>
    <w:p w14:paraId="70730617">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公务用车运行费支出0万元，完成全年预算的0%</w:t>
      </w:r>
      <w:r>
        <w:rPr>
          <w:rFonts w:hint="eastAsia" w:ascii="仿宋_GB2312" w:hAnsi="仿宋_GB2312" w:eastAsia="仿宋_GB2312" w:cs="仿宋_GB2312"/>
          <w:spacing w:val="0"/>
          <w:kern w:val="0"/>
          <w:sz w:val="32"/>
          <w:szCs w:val="32"/>
          <w:lang w:eastAsia="zh-CN"/>
        </w:rPr>
        <w:t>，与全年预算</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lang w:val="en-US" w:eastAsia="zh-CN"/>
        </w:rPr>
        <w:t>0.00万元</w:t>
      </w:r>
      <w:r>
        <w:rPr>
          <w:rFonts w:hint="eastAsia" w:ascii="仿宋_GB2312" w:hAnsi="仿宋_GB2312" w:eastAsia="仿宋_GB2312" w:cs="仿宋_GB2312"/>
          <w:spacing w:val="0"/>
          <w:kern w:val="0"/>
          <w:sz w:val="32"/>
          <w:szCs w:val="32"/>
          <w:lang w:eastAsia="zh-CN"/>
        </w:rPr>
        <w:t>持平</w:t>
      </w:r>
      <w:r>
        <w:rPr>
          <w:rFonts w:ascii="仿宋_GB2312" w:hAnsi="仿宋_GB2312" w:eastAsia="仿宋_GB2312" w:cs="仿宋_GB2312"/>
          <w:spacing w:val="0"/>
          <w:kern w:val="0"/>
          <w:sz w:val="32"/>
          <w:szCs w:val="32"/>
        </w:rPr>
        <w:t>；较上年增加0万元，增长0%</w:t>
      </w:r>
      <w:r>
        <w:rPr>
          <w:rFonts w:hint="eastAsia" w:ascii="仿宋_GB2312" w:hAnsi="仿宋_GB2312" w:eastAsia="仿宋_GB2312" w:cs="仿宋_GB2312"/>
          <w:spacing w:val="0"/>
          <w:kern w:val="0"/>
          <w:sz w:val="32"/>
          <w:szCs w:val="32"/>
          <w:lang w:eastAsia="zh-CN"/>
        </w:rPr>
        <w:t>，</w:t>
      </w:r>
      <w:r>
        <w:rPr>
          <w:rFonts w:ascii="仿宋_GB2312" w:hAnsi="仿宋_GB2312" w:eastAsia="仿宋_GB2312" w:cs="仿宋_GB2312"/>
          <w:spacing w:val="0"/>
          <w:kern w:val="0"/>
          <w:sz w:val="32"/>
          <w:szCs w:val="32"/>
        </w:rPr>
        <w:t>与上年</w:t>
      </w:r>
      <w:r>
        <w:rPr>
          <w:rFonts w:hint="eastAsia" w:ascii="仿宋_GB2312" w:hAnsi="仿宋_GB2312" w:eastAsia="仿宋_GB2312" w:cs="仿宋_GB2312"/>
          <w:spacing w:val="0"/>
          <w:kern w:val="0"/>
          <w:sz w:val="32"/>
          <w:szCs w:val="32"/>
          <w:lang w:eastAsia="zh-CN"/>
        </w:rPr>
        <w:t>决算数</w:t>
      </w:r>
      <w:r>
        <w:rPr>
          <w:rFonts w:ascii="仿宋_GB2312" w:hAnsi="仿宋_GB2312" w:eastAsia="仿宋_GB2312" w:cs="仿宋_GB2312"/>
          <w:spacing w:val="0"/>
          <w:kern w:val="0"/>
          <w:sz w:val="32"/>
          <w:szCs w:val="32"/>
        </w:rPr>
        <w:t>持平</w:t>
      </w:r>
      <w:r>
        <w:rPr>
          <w:rFonts w:hint="eastAsia" w:ascii="仿宋_GB2312" w:hAnsi="仿宋_GB2312" w:eastAsia="仿宋_GB2312" w:cs="仿宋_GB2312"/>
          <w:spacing w:val="0"/>
          <w:kern w:val="0"/>
          <w:sz w:val="32"/>
          <w:szCs w:val="32"/>
          <w:lang w:eastAsia="zh-CN"/>
        </w:rPr>
        <w:t>。</w:t>
      </w:r>
      <w:r>
        <w:rPr>
          <w:rFonts w:ascii="仿宋_GB2312" w:hAnsi="仿宋_GB2312" w:eastAsia="仿宋_GB2312" w:cs="仿宋_GB2312"/>
          <w:spacing w:val="0"/>
          <w:kern w:val="0"/>
          <w:sz w:val="32"/>
          <w:szCs w:val="32"/>
        </w:rPr>
        <w:t>主要原因是本年无公务用车运行费支出。截至2024年12月31日，本部门公务用车保有量为0辆。</w:t>
      </w:r>
    </w:p>
    <w:p w14:paraId="7929ED42">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（三）公务接待费支出0万元，完成全年预算的 0%</w:t>
      </w:r>
      <w:r>
        <w:rPr>
          <w:rFonts w:hint="eastAsia" w:ascii="仿宋_GB2312" w:hAnsi="仿宋_GB2312" w:eastAsia="仿宋_GB2312" w:cs="仿宋_GB2312"/>
          <w:kern w:val="0"/>
          <w:sz w:val="32"/>
          <w:szCs w:val="32"/>
          <w:lang w:eastAsia="zh-CN"/>
        </w:rPr>
        <w:t>，与全年预算的</w:t>
      </w:r>
      <w:r>
        <w:rPr>
          <w:rFonts w:hint="eastAsia" w:ascii="仿宋_GB2312" w:hAnsi="仿宋_GB2312" w:eastAsia="仿宋_GB2312" w:cs="仿宋_GB2312"/>
          <w:kern w:val="0"/>
          <w:sz w:val="32"/>
          <w:szCs w:val="32"/>
          <w:lang w:val="en-US" w:eastAsia="zh-CN"/>
        </w:rPr>
        <w:t>0.00万元</w:t>
      </w:r>
      <w:r>
        <w:rPr>
          <w:rFonts w:hint="eastAsia" w:ascii="仿宋_GB2312" w:hAnsi="仿宋_GB2312" w:eastAsia="仿宋_GB2312" w:cs="仿宋_GB2312"/>
          <w:kern w:val="0"/>
          <w:sz w:val="32"/>
          <w:szCs w:val="32"/>
          <w:lang w:eastAsia="zh-CN"/>
        </w:rPr>
        <w:t>持平</w:t>
      </w:r>
      <w:r>
        <w:rPr>
          <w:rFonts w:ascii="仿宋_GB2312" w:hAnsi="仿宋_GB2312" w:eastAsia="仿宋_GB2312" w:cs="仿宋_GB2312"/>
          <w:kern w:val="0"/>
          <w:sz w:val="32"/>
          <w:szCs w:val="32"/>
        </w:rPr>
        <w:t>；较上年减少0.35万元，下降100.00%</w:t>
      </w:r>
      <w:r>
        <w:rPr>
          <w:rFonts w:hint="eastAsia" w:ascii="仿宋_GB2312" w:hAnsi="仿宋_GB2312" w:eastAsia="仿宋_GB2312" w:cs="仿宋_GB2312"/>
          <w:kern w:val="0"/>
          <w:sz w:val="32"/>
          <w:szCs w:val="32"/>
          <w:lang w:eastAsia="zh-CN"/>
        </w:rPr>
        <w:t>，小于上年决算数</w:t>
      </w:r>
      <w:r>
        <w:rPr>
          <w:rFonts w:ascii="仿宋_GB2312" w:hAnsi="仿宋_GB2312" w:eastAsia="仿宋_GB2312" w:cs="仿宋_GB2312"/>
          <w:kern w:val="0"/>
          <w:sz w:val="32"/>
          <w:szCs w:val="32"/>
        </w:rPr>
        <w:t>。主要原因是本年无公务接待费支出。累计接待0批次、0人次。</w:t>
      </w:r>
    </w:p>
    <w:p w14:paraId="14EF3506">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r>
        <w:rPr>
          <w:rFonts w:ascii="黑体" w:hAnsi="黑体" w:eastAsia="黑体" w:cs="黑体"/>
          <w:b w:val="0"/>
          <w:bCs w:val="0"/>
          <w:spacing w:val="0"/>
        </w:rPr>
        <w:t>八、预算绩效情况说明</w:t>
      </w:r>
      <w:bookmarkEnd w:id="133"/>
      <w:bookmarkEnd w:id="134"/>
      <w:bookmarkEnd w:id="135"/>
      <w:bookmarkEnd w:id="136"/>
      <w:bookmarkEnd w:id="137"/>
      <w:bookmarkEnd w:id="138"/>
    </w:p>
    <w:p w14:paraId="2DA55AB3">
      <w:pPr>
        <w:pStyle w:val="29"/>
        <w:widowControl/>
        <w:spacing w:before="100" w:after="100" w:line="560" w:lineRule="atLeast"/>
        <w:ind w:left="100" w:right="100" w:firstLine="640"/>
        <w:jc w:val="left"/>
        <w:rPr>
          <w:rFonts w:hint="eastAsia" w:ascii="Times New Roman" w:hAnsi="Times New Roman" w:eastAsia="仿宋_GB2312" w:cs="Times New Roman"/>
          <w:kern w:val="0"/>
          <w:sz w:val="24"/>
          <w:lang w:eastAsia="zh-CN"/>
        </w:rPr>
      </w:pPr>
      <w:bookmarkStart w:id="139" w:name="_Toc256000078"/>
      <w:bookmarkStart w:id="140" w:name="_Toc256000024"/>
      <w:bookmarkStart w:id="141" w:name="_Toc256000129"/>
      <w:bookmarkStart w:id="142" w:name="_Toc256000156"/>
      <w:bookmarkStart w:id="143" w:name="_Toc256000102"/>
      <w:bookmarkStart w:id="144" w:name="_Toc256000051"/>
      <w:r>
        <w:rPr>
          <w:rFonts w:ascii="仿宋_GB2312" w:hAnsi="仿宋_GB2312" w:eastAsia="仿宋_GB2312" w:cs="仿宋_GB2312"/>
          <w:spacing w:val="0"/>
          <w:kern w:val="0"/>
          <w:sz w:val="32"/>
          <w:szCs w:val="32"/>
        </w:rPr>
        <w:t>根据预算绩效管理要求，本</w:t>
      </w:r>
      <w:r>
        <w:rPr>
          <w:rFonts w:hint="eastAsia" w:ascii="仿宋_GB2312" w:hAnsi="仿宋_GB2312" w:eastAsia="仿宋_GB2312" w:cs="仿宋_GB2312"/>
          <w:spacing w:val="0"/>
          <w:kern w:val="0"/>
          <w:sz w:val="32"/>
          <w:szCs w:val="32"/>
          <w:lang w:eastAsia="zh-CN"/>
        </w:rPr>
        <w:t>单位</w:t>
      </w:r>
      <w:r>
        <w:rPr>
          <w:rFonts w:ascii="仿宋_GB2312" w:hAnsi="仿宋_GB2312" w:eastAsia="仿宋_GB2312" w:cs="仿宋_GB2312"/>
          <w:spacing w:val="0"/>
          <w:kern w:val="0"/>
          <w:sz w:val="32"/>
          <w:szCs w:val="32"/>
        </w:rPr>
        <w:t>组织对2024年度0个项目实施单位自评</w:t>
      </w:r>
      <w:r>
        <w:rPr>
          <w:rFonts w:hint="eastAsia" w:ascii="仿宋_GB2312" w:hAnsi="仿宋_GB2312" w:eastAsia="仿宋_GB2312" w:cs="仿宋_GB2312"/>
          <w:spacing w:val="0"/>
          <w:kern w:val="0"/>
          <w:sz w:val="32"/>
          <w:szCs w:val="32"/>
          <w:lang w:eastAsia="zh-CN"/>
        </w:rPr>
        <w:t>，</w:t>
      </w:r>
      <w:r>
        <w:rPr>
          <w:rFonts w:ascii="仿宋_GB2312" w:hAnsi="仿宋_GB2312" w:eastAsia="仿宋_GB2312" w:cs="仿宋_GB2312"/>
          <w:spacing w:val="0"/>
          <w:kern w:val="0"/>
          <w:sz w:val="32"/>
          <w:szCs w:val="32"/>
        </w:rPr>
        <w:t>涉及财政拨款资金共计0万元，</w:t>
      </w:r>
      <w:r>
        <w:rPr>
          <w:rFonts w:hint="eastAsia" w:ascii="仿宋_GB2312" w:hAnsi="仿宋_GB2312" w:eastAsia="仿宋_GB2312" w:cs="仿宋_GB2312"/>
          <w:spacing w:val="0"/>
          <w:kern w:val="0"/>
          <w:sz w:val="32"/>
          <w:szCs w:val="32"/>
          <w:lang w:eastAsia="zh-CN"/>
        </w:rPr>
        <w:t>主要是本单位</w:t>
      </w:r>
      <w:r>
        <w:rPr>
          <w:rFonts w:hint="eastAsia" w:ascii="仿宋_GB2312" w:hAnsi="仿宋_GB2312" w:eastAsia="仿宋_GB2312" w:cs="仿宋_GB2312"/>
          <w:spacing w:val="0"/>
          <w:kern w:val="0"/>
          <w:sz w:val="32"/>
          <w:szCs w:val="32"/>
          <w:lang w:val="en-US" w:eastAsia="zh-CN"/>
        </w:rPr>
        <w:t>2024年度无相关的单位自评项目，无</w:t>
      </w:r>
      <w:r>
        <w:rPr>
          <w:rFonts w:ascii="仿宋_GB2312" w:hAnsi="仿宋_GB2312" w:eastAsia="仿宋_GB2312" w:cs="仿宋_GB2312"/>
          <w:spacing w:val="0"/>
          <w:kern w:val="0"/>
          <w:sz w:val="32"/>
          <w:szCs w:val="32"/>
        </w:rPr>
        <w:t>《项目支出绩效评价报告》</w:t>
      </w:r>
      <w:r>
        <w:rPr>
          <w:rFonts w:hint="eastAsia" w:ascii="仿宋_GB2312" w:hAnsi="仿宋_GB2312" w:eastAsia="仿宋_GB2312" w:cs="仿宋_GB2312"/>
          <w:spacing w:val="0"/>
          <w:kern w:val="0"/>
          <w:sz w:val="32"/>
          <w:szCs w:val="32"/>
          <w:lang w:eastAsia="zh-CN"/>
        </w:rPr>
        <w:t>。</w:t>
      </w:r>
    </w:p>
    <w:p w14:paraId="6E434C37">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r>
        <w:rPr>
          <w:rFonts w:ascii="黑体" w:hAnsi="黑体" w:eastAsia="黑体" w:cs="黑体"/>
          <w:b w:val="0"/>
          <w:bCs w:val="0"/>
          <w:spacing w:val="0"/>
        </w:rPr>
        <w:t>九、其他重要事项说明</w:t>
      </w:r>
      <w:bookmarkEnd w:id="139"/>
      <w:bookmarkEnd w:id="140"/>
      <w:bookmarkEnd w:id="141"/>
      <w:bookmarkEnd w:id="142"/>
      <w:bookmarkEnd w:id="143"/>
      <w:bookmarkEnd w:id="144"/>
    </w:p>
    <w:p w14:paraId="7D09CA79">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（一）机关运行经费</w:t>
      </w:r>
      <w:r>
        <w:rPr>
          <w:rFonts w:ascii="楷体_GB2312" w:hAnsi="楷体_GB2312" w:eastAsia="楷体_GB2312" w:cs="楷体_GB2312"/>
          <w:spacing w:val="0"/>
          <w:kern w:val="0"/>
          <w:sz w:val="32"/>
          <w:szCs w:val="32"/>
        </w:rPr>
        <w:t> </w:t>
      </w:r>
    </w:p>
    <w:p w14:paraId="56532788">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2024年度机关运行经费支出153.81万元，比上年决算数减少229.19万元，下降59.84%，主要原因是: 本年度单位在编在职总人数变动。</w:t>
      </w:r>
    </w:p>
    <w:p w14:paraId="22F2171A">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（二）政府采购情况</w:t>
      </w:r>
    </w:p>
    <w:p w14:paraId="765E5AC1">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本单位2024年度政府采购支出总额7.40万元，其中：政府采购货物支出7.40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r>
        <w:rPr>
          <w:rFonts w:ascii="仿宋_GB2312" w:hAnsi="仿宋_GB2312" w:eastAsia="仿宋_GB2312" w:cs="仿宋_GB2312"/>
          <w:kern w:val="0"/>
          <w:sz w:val="32"/>
          <w:szCs w:val="32"/>
        </w:rPr>
        <w:t>%。</w:t>
      </w:r>
    </w:p>
    <w:p w14:paraId="00BB788A">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（三）国有资产占用使用情况</w:t>
      </w:r>
      <w:r>
        <w:rPr>
          <w:rFonts w:ascii="楷体_GB2312" w:hAnsi="楷体_GB2312" w:eastAsia="楷体_GB2312" w:cs="楷体_GB2312"/>
          <w:spacing w:val="0"/>
          <w:kern w:val="0"/>
          <w:sz w:val="32"/>
          <w:szCs w:val="32"/>
        </w:rPr>
        <w:t> </w:t>
      </w:r>
    </w:p>
    <w:p w14:paraId="7294AC13">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截至2024年12月31日，本单位共有车辆1 辆，其中：副部（省）级以上领导用车0 辆、主要领导干部用车0 辆、机要通信用车0辆、应急保障用车0辆、执法执勤用车1辆、特种专业技术用车0辆、离退休干部用车0辆、其他用车0辆；单位价值100万元以上设备（不含车辆）0台（套）。  </w:t>
      </w:r>
    </w:p>
    <w:p w14:paraId="59AC5BB8">
      <w:pPr>
        <w:sectPr>
          <w:footerReference r:id="rId18" w:type="default"/>
          <w:pgSz w:w="11906" w:h="16838"/>
          <w:pgMar w:top="1440" w:right="720" w:bottom="1440" w:left="720" w:header="720" w:footer="720" w:gutter="0"/>
          <w:cols w:space="720" w:num="1"/>
        </w:sectPr>
      </w:pPr>
      <w:bookmarkStart w:id="157" w:name="_GoBack"/>
      <w:bookmarkEnd w:id="157"/>
    </w:p>
    <w:p w14:paraId="4B436C67">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1B3082A4">
      <w:pPr>
        <w:pStyle w:val="29"/>
        <w:widowControl/>
        <w:spacing w:before="100" w:after="100"/>
        <w:ind w:left="100" w:right="100" w:firstLine="640"/>
        <w:jc w:val="left"/>
        <w:rPr>
          <w:rFonts w:ascii="Times New Roman" w:hAnsi="Times New Roman" w:eastAsia="Times New Roman" w:cs="Times New Roman"/>
          <w:kern w:val="0"/>
          <w:sz w:val="24"/>
        </w:rPr>
      </w:pPr>
    </w:p>
    <w:p w14:paraId="55C086BE">
      <w:pPr>
        <w:pStyle w:val="29"/>
        <w:widowControl/>
        <w:spacing w:before="100" w:after="100"/>
        <w:ind w:left="100" w:right="100" w:firstLine="640"/>
        <w:jc w:val="left"/>
        <w:rPr>
          <w:rFonts w:ascii="Times New Roman" w:hAnsi="Times New Roman" w:eastAsia="Times New Roman" w:cs="Times New Roman"/>
          <w:kern w:val="0"/>
          <w:sz w:val="24"/>
        </w:rPr>
      </w:pPr>
    </w:p>
    <w:p w14:paraId="1DE9EB04">
      <w:pPr>
        <w:pStyle w:val="29"/>
        <w:widowControl/>
        <w:spacing w:before="100" w:after="100"/>
        <w:ind w:left="100" w:right="100" w:firstLine="640"/>
        <w:jc w:val="left"/>
        <w:rPr>
          <w:rFonts w:ascii="Times New Roman" w:hAnsi="Times New Roman" w:eastAsia="Times New Roman" w:cs="Times New Roman"/>
          <w:kern w:val="0"/>
          <w:sz w:val="24"/>
        </w:rPr>
      </w:pPr>
    </w:p>
    <w:p w14:paraId="4EE92E78">
      <w:pPr>
        <w:pStyle w:val="29"/>
        <w:widowControl/>
        <w:spacing w:before="100" w:after="100"/>
        <w:ind w:left="100" w:right="100" w:firstLine="640"/>
        <w:jc w:val="left"/>
        <w:rPr>
          <w:rFonts w:ascii="Times New Roman" w:hAnsi="Times New Roman" w:eastAsia="Times New Roman" w:cs="Times New Roman"/>
          <w:kern w:val="0"/>
          <w:sz w:val="24"/>
        </w:rPr>
      </w:pPr>
    </w:p>
    <w:p w14:paraId="69CFCC25">
      <w:pPr>
        <w:pStyle w:val="29"/>
        <w:widowControl/>
        <w:spacing w:before="100" w:after="100"/>
        <w:ind w:left="100" w:right="100" w:firstLine="640"/>
        <w:jc w:val="left"/>
        <w:rPr>
          <w:rFonts w:ascii="Times New Roman" w:hAnsi="Times New Roman" w:eastAsia="Times New Roman" w:cs="Times New Roman"/>
          <w:kern w:val="0"/>
          <w:sz w:val="24"/>
        </w:rPr>
      </w:pPr>
    </w:p>
    <w:p w14:paraId="120D77EA">
      <w:pPr>
        <w:pStyle w:val="29"/>
        <w:widowControl/>
        <w:spacing w:before="100" w:after="100"/>
        <w:ind w:left="100" w:right="100" w:firstLine="640"/>
        <w:jc w:val="left"/>
        <w:rPr>
          <w:rFonts w:ascii="Times New Roman" w:hAnsi="Times New Roman" w:eastAsia="Times New Roman" w:cs="Times New Roman"/>
          <w:kern w:val="0"/>
          <w:sz w:val="24"/>
        </w:rPr>
      </w:pPr>
    </w:p>
    <w:p w14:paraId="05937273">
      <w:pPr>
        <w:pStyle w:val="29"/>
        <w:widowControl/>
        <w:spacing w:before="100" w:after="100"/>
        <w:ind w:left="100" w:right="100" w:firstLine="640"/>
        <w:jc w:val="left"/>
        <w:rPr>
          <w:rFonts w:ascii="Times New Roman" w:hAnsi="Times New Roman" w:eastAsia="Times New Roman" w:cs="Times New Roman"/>
          <w:kern w:val="0"/>
          <w:sz w:val="24"/>
        </w:rPr>
      </w:pPr>
    </w:p>
    <w:p w14:paraId="7BFFB82B">
      <w:pPr>
        <w:pStyle w:val="29"/>
        <w:widowControl/>
        <w:spacing w:before="100" w:after="100"/>
        <w:ind w:left="100" w:right="100" w:firstLine="640"/>
        <w:jc w:val="left"/>
        <w:rPr>
          <w:rFonts w:ascii="Times New Roman" w:hAnsi="Times New Roman" w:eastAsia="Times New Roman" w:cs="Times New Roman"/>
          <w:kern w:val="0"/>
          <w:sz w:val="24"/>
        </w:rPr>
      </w:pPr>
    </w:p>
    <w:p w14:paraId="4CD56CA7">
      <w:pPr>
        <w:pStyle w:val="29"/>
        <w:widowControl/>
        <w:spacing w:before="100" w:after="100"/>
        <w:ind w:left="100" w:right="100" w:firstLine="640"/>
        <w:jc w:val="left"/>
        <w:rPr>
          <w:rFonts w:ascii="Times New Roman" w:hAnsi="Times New Roman" w:eastAsia="Times New Roman" w:cs="Times New Roman"/>
          <w:kern w:val="0"/>
          <w:sz w:val="24"/>
        </w:rPr>
      </w:pPr>
    </w:p>
    <w:p w14:paraId="2A85FC84">
      <w:pPr>
        <w:pStyle w:val="29"/>
        <w:widowControl/>
        <w:spacing w:before="100" w:after="100"/>
        <w:ind w:left="100" w:right="100" w:firstLine="640"/>
        <w:jc w:val="left"/>
        <w:rPr>
          <w:rFonts w:ascii="Times New Roman" w:hAnsi="Times New Roman" w:eastAsia="Times New Roman" w:cs="Times New Roman"/>
          <w:kern w:val="0"/>
          <w:sz w:val="24"/>
        </w:rPr>
      </w:pPr>
    </w:p>
    <w:p w14:paraId="386AD2D7">
      <w:pPr>
        <w:pStyle w:val="29"/>
        <w:widowControl/>
        <w:spacing w:before="100" w:after="100"/>
        <w:ind w:left="100" w:right="100" w:firstLine="640"/>
        <w:jc w:val="left"/>
        <w:rPr>
          <w:rFonts w:ascii="Times New Roman" w:hAnsi="Times New Roman" w:eastAsia="Times New Roman" w:cs="Times New Roman"/>
          <w:kern w:val="0"/>
          <w:sz w:val="24"/>
        </w:rPr>
      </w:pPr>
    </w:p>
    <w:p w14:paraId="7AD9CEE7">
      <w:pPr>
        <w:pStyle w:val="29"/>
        <w:widowControl/>
        <w:spacing w:before="100" w:after="100"/>
        <w:ind w:left="100" w:right="100" w:firstLine="640"/>
        <w:jc w:val="left"/>
        <w:rPr>
          <w:rFonts w:ascii="Times New Roman" w:hAnsi="Times New Roman" w:eastAsia="Times New Roman" w:cs="Times New Roman"/>
          <w:kern w:val="0"/>
          <w:sz w:val="24"/>
        </w:rPr>
      </w:pPr>
    </w:p>
    <w:p w14:paraId="762F9F78">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45" w:name="_Toc256000079"/>
      <w:bookmarkStart w:id="146" w:name="_Toc256000052"/>
      <w:bookmarkStart w:id="147" w:name="_Toc256000130"/>
      <w:bookmarkStart w:id="148" w:name="_Toc256000103"/>
      <w:bookmarkStart w:id="149" w:name="_Toc256000025"/>
      <w:bookmarkStart w:id="150" w:name="_Toc256000157"/>
      <w:r>
        <w:rPr>
          <w:rFonts w:ascii="黑体" w:hAnsi="黑体" w:eastAsia="黑体" w:cs="黑体"/>
          <w:b w:val="0"/>
          <w:bCs w:val="0"/>
          <w:spacing w:val="0"/>
          <w:sz w:val="56"/>
          <w:szCs w:val="56"/>
        </w:rPr>
        <w:t>第四部分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名词解释</w:t>
      </w:r>
      <w:bookmarkEnd w:id="145"/>
      <w:bookmarkEnd w:id="146"/>
      <w:bookmarkEnd w:id="147"/>
      <w:bookmarkEnd w:id="148"/>
      <w:bookmarkEnd w:id="149"/>
      <w:bookmarkEnd w:id="150"/>
    </w:p>
    <w:p w14:paraId="66E16FF4">
      <w:pPr>
        <w:sectPr>
          <w:footerReference r:id="rId19" w:type="default"/>
          <w:pgSz w:w="11906" w:h="16838"/>
          <w:pgMar w:top="1440" w:right="720" w:bottom="1440" w:left="720" w:header="720" w:footer="720" w:gutter="0"/>
          <w:cols w:space="720" w:num="1"/>
        </w:sectPr>
      </w:pPr>
    </w:p>
    <w:p w14:paraId="21FD91EE">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07DC39B4">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一、财政拨款收入：</w:t>
      </w:r>
      <w:r>
        <w:rPr>
          <w:rFonts w:ascii="仿宋_GB2312" w:hAnsi="仿宋_GB2312" w:eastAsia="仿宋_GB2312" w:cs="仿宋_GB2312"/>
          <w:spacing w:val="0"/>
          <w:kern w:val="0"/>
          <w:sz w:val="32"/>
          <w:szCs w:val="32"/>
        </w:rPr>
        <w:t>指单位从本级财政单位取得的财政预算资金，包括一般公共预算财政拨款、政府性基金预算财政拨款和国有资本经营预算财政拨款。</w:t>
      </w:r>
    </w:p>
    <w:p w14:paraId="593945A5">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二、事业收入：</w:t>
      </w:r>
      <w:r>
        <w:rPr>
          <w:rFonts w:ascii="仿宋_GB2312" w:hAnsi="仿宋_GB2312" w:eastAsia="仿宋_GB2312" w:cs="仿宋_GB2312"/>
          <w:spacing w:val="0"/>
          <w:kern w:val="0"/>
          <w:sz w:val="32"/>
          <w:szCs w:val="32"/>
        </w:rPr>
        <w:t>指事业单位开展专业业务活动及辅助活动所取得的收入。</w:t>
      </w:r>
    </w:p>
    <w:p w14:paraId="351D96F9">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三、经营收入：</w:t>
      </w:r>
      <w:r>
        <w:rPr>
          <w:rFonts w:ascii="仿宋_GB2312" w:hAnsi="仿宋_GB2312" w:eastAsia="仿宋_GB2312" w:cs="仿宋_GB2312"/>
          <w:spacing w:val="0"/>
          <w:kern w:val="0"/>
          <w:sz w:val="32"/>
          <w:szCs w:val="32"/>
        </w:rPr>
        <w:t>指事业单位在专业业务活动及其辅助活动之外开展非独立核算经营活动取得的收入。</w:t>
      </w:r>
    </w:p>
    <w:p w14:paraId="3121A2CA">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四、其他收入：</w:t>
      </w:r>
      <w:r>
        <w:rPr>
          <w:rFonts w:ascii="仿宋_GB2312" w:hAnsi="仿宋_GB2312" w:eastAsia="仿宋_GB2312" w:cs="仿宋_GB2312"/>
          <w:kern w:val="0"/>
          <w:sz w:val="32"/>
          <w:szCs w:val="32"/>
        </w:rPr>
        <w:t>指除上述“财政拨款收入”“事业收入”</w:t>
      </w:r>
      <w:r>
        <w:rPr>
          <w:rFonts w:ascii="仿宋_GB2312" w:hAnsi="仿宋_GB2312" w:eastAsia="仿宋_GB2312" w:cs="仿宋_GB2312"/>
          <w:kern w:val="0"/>
          <w:szCs w:val="21"/>
        </w:rPr>
        <w:t> </w:t>
      </w:r>
      <w:r>
        <w:rPr>
          <w:rFonts w:ascii="仿宋_GB2312" w:hAnsi="仿宋_GB2312" w:eastAsia="仿宋_GB2312" w:cs="仿宋_GB2312"/>
          <w:kern w:val="0"/>
          <w:sz w:val="32"/>
          <w:szCs w:val="32"/>
        </w:rPr>
        <w:t>“上级补助收入”“附属单位上缴收入”“经营收入”等以外取得的各项收入。主要是事业单位固定资产出租收入、存款利息收入等。</w:t>
      </w:r>
    </w:p>
    <w:p w14:paraId="32AB64EF">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五、使用非财政拨款结余（含专用结余）：</w:t>
      </w:r>
      <w:r>
        <w:rPr>
          <w:rFonts w:ascii="仿宋_GB2312" w:hAnsi="仿宋_GB2312" w:eastAsia="仿宋_GB2312" w:cs="仿宋_GB2312"/>
          <w:kern w:val="0"/>
          <w:sz w:val="32"/>
          <w:szCs w:val="32"/>
        </w:rPr>
        <w:t>指事业单位按照预算管理要求使用非财政拨款结余弥补当年收支差额的金额，以及使用专用结余安排支出的金额。</w:t>
      </w:r>
    </w:p>
    <w:p w14:paraId="11125039">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六、年初结转和结余：</w:t>
      </w:r>
      <w:r>
        <w:rPr>
          <w:rFonts w:ascii="仿宋_GB2312" w:hAnsi="仿宋_GB2312" w:eastAsia="仿宋_GB2312" w:cs="仿宋_GB2312"/>
          <w:spacing w:val="0"/>
          <w:kern w:val="0"/>
          <w:sz w:val="32"/>
          <w:szCs w:val="32"/>
        </w:rPr>
        <w:t>指单位以前年度尚未完成、结转到本年仍按原规定用途继续使用的资金，或项目已完成等产生的结余资金。</w:t>
      </w:r>
    </w:p>
    <w:p w14:paraId="4AF9671B">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七、结余分配：</w:t>
      </w:r>
      <w:r>
        <w:rPr>
          <w:rFonts w:ascii="仿宋_GB2312" w:hAnsi="仿宋_GB2312" w:eastAsia="仿宋_GB2312" w:cs="仿宋_GB2312"/>
          <w:spacing w:val="0"/>
          <w:kern w:val="0"/>
          <w:sz w:val="32"/>
          <w:szCs w:val="32"/>
        </w:rPr>
        <w:t>指事业单位按照会计制度规定缴纳的所得税、提取的专用结余以及转入非财政拨款结余的金额等。</w:t>
      </w:r>
    </w:p>
    <w:p w14:paraId="0B3D497F">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八、年末结转和结余：</w:t>
      </w:r>
      <w:r>
        <w:rPr>
          <w:rFonts w:ascii="仿宋_GB2312" w:hAnsi="仿宋_GB2312" w:eastAsia="仿宋_GB2312" w:cs="仿宋_GB2312"/>
          <w:spacing w:val="0"/>
          <w:kern w:val="0"/>
          <w:sz w:val="32"/>
          <w:szCs w:val="32"/>
        </w:rPr>
        <w:t>指单位按有关规定结转到下年或以后年度继续使用的资金，或项目已完成等产生的结余资金。</w:t>
      </w:r>
    </w:p>
    <w:p w14:paraId="4A249619">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九、基本支出：</w:t>
      </w:r>
      <w:r>
        <w:rPr>
          <w:rFonts w:ascii="仿宋_GB2312" w:hAnsi="仿宋_GB2312" w:eastAsia="仿宋_GB2312" w:cs="仿宋_GB2312"/>
          <w:spacing w:val="0"/>
          <w:kern w:val="0"/>
          <w:sz w:val="32"/>
          <w:szCs w:val="32"/>
        </w:rPr>
        <w:t>指为保障机构正常运转、完成日常工作任务而发生的人员支出和公用支出。</w:t>
      </w:r>
    </w:p>
    <w:p w14:paraId="330A6888">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十、项目支出：</w:t>
      </w:r>
      <w:r>
        <w:rPr>
          <w:rFonts w:ascii="仿宋_GB2312" w:hAnsi="仿宋_GB2312" w:eastAsia="仿宋_GB2312" w:cs="仿宋_GB2312"/>
          <w:spacing w:val="0"/>
          <w:kern w:val="0"/>
          <w:sz w:val="32"/>
          <w:szCs w:val="32"/>
        </w:rPr>
        <w:t>指在基本支出之外为完成特定行政任务和事业发展目标所发生的支出。</w:t>
      </w:r>
    </w:p>
    <w:p w14:paraId="6D1FDC5E">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十一、经营支出：</w:t>
      </w:r>
      <w:r>
        <w:rPr>
          <w:rFonts w:ascii="仿宋_GB2312" w:hAnsi="仿宋_GB2312" w:eastAsia="仿宋_GB2312" w:cs="仿宋_GB2312"/>
          <w:spacing w:val="0"/>
          <w:kern w:val="0"/>
          <w:sz w:val="32"/>
          <w:szCs w:val="32"/>
        </w:rPr>
        <w:t>指事业单位在专业业务活动及其辅助活动之外开展非独立核算经营活动发生的支出。</w:t>
      </w:r>
    </w:p>
    <w:p w14:paraId="271F43EF">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十二、“三公”经费：</w:t>
      </w:r>
      <w:r>
        <w:rPr>
          <w:rFonts w:ascii="仿宋_GB2312" w:hAnsi="仿宋_GB2312" w:eastAsia="仿宋_GB2312" w:cs="仿宋_GB2312"/>
          <w:spacing w:val="0"/>
          <w:kern w:val="0"/>
          <w:sz w:val="32"/>
          <w:szCs w:val="32"/>
        </w:rPr>
        <w:t>纳入本级财政预决算管理的“三公”经费，是指本级单位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燃料费、维修费、过桥过路费、保险费、安全奖励费用等支出；公务接待费反映单位按规定开支的各类公务接待（含外宾接待）支出。</w:t>
      </w:r>
    </w:p>
    <w:p w14:paraId="32B3B88B">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十三、机关运行经费：</w:t>
      </w:r>
      <w:r>
        <w:rPr>
          <w:rFonts w:ascii="仿宋_GB2312" w:hAnsi="仿宋_GB2312" w:eastAsia="仿宋_GB2312" w:cs="仿宋_GB2312"/>
          <w:kern w:val="0"/>
          <w:sz w:val="32"/>
          <w:szCs w:val="32"/>
        </w:rPr>
        <w:t>反映行政单位（含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以及其他费用。</w:t>
      </w:r>
    </w:p>
    <w:p w14:paraId="3178C646">
      <w:pPr>
        <w:pStyle w:val="29"/>
        <w:widowControl/>
        <w:spacing w:before="240" w:after="240"/>
        <w:ind w:firstLine="643"/>
        <w:jc w:val="left"/>
        <w:rPr>
          <w:rFonts w:ascii="Times New Roman" w:hAnsi="Times New Roman" w:eastAsia="Times New Roman" w:cs="Times New Roman"/>
          <w:kern w:val="0"/>
          <w:sz w:val="24"/>
        </w:rPr>
      </w:pPr>
    </w:p>
    <w:p w14:paraId="36787E38">
      <w:pPr>
        <w:sectPr>
          <w:footerReference r:id="rId20" w:type="default"/>
          <w:pgSz w:w="11906" w:h="16838"/>
          <w:pgMar w:top="1440" w:right="720" w:bottom="1440" w:left="720" w:header="720" w:footer="720" w:gutter="0"/>
          <w:cols w:space="720" w:num="1"/>
        </w:sectPr>
      </w:pPr>
    </w:p>
    <w:p w14:paraId="0AA0C092">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6EC64AC3">
      <w:pPr>
        <w:pStyle w:val="29"/>
        <w:widowControl/>
        <w:spacing w:before="240" w:after="240"/>
        <w:jc w:val="left"/>
        <w:rPr>
          <w:rFonts w:ascii="Times New Roman" w:hAnsi="Times New Roman" w:eastAsia="Times New Roman" w:cs="Times New Roman"/>
          <w:kern w:val="0"/>
          <w:sz w:val="24"/>
        </w:rPr>
      </w:pPr>
    </w:p>
    <w:p w14:paraId="0045BBD4">
      <w:pPr>
        <w:pStyle w:val="29"/>
        <w:widowControl/>
        <w:spacing w:before="240" w:after="240"/>
        <w:jc w:val="left"/>
        <w:rPr>
          <w:rFonts w:ascii="Times New Roman" w:hAnsi="Times New Roman" w:eastAsia="Times New Roman" w:cs="Times New Roman"/>
          <w:kern w:val="0"/>
          <w:sz w:val="24"/>
        </w:rPr>
      </w:pPr>
    </w:p>
    <w:p w14:paraId="0012DD88">
      <w:pPr>
        <w:pStyle w:val="29"/>
        <w:widowControl/>
        <w:spacing w:before="240" w:after="240"/>
        <w:jc w:val="left"/>
        <w:rPr>
          <w:rFonts w:ascii="Times New Roman" w:hAnsi="Times New Roman" w:eastAsia="Times New Roman" w:cs="Times New Roman"/>
          <w:kern w:val="0"/>
          <w:sz w:val="24"/>
        </w:rPr>
      </w:pPr>
    </w:p>
    <w:p w14:paraId="0BA95483">
      <w:pPr>
        <w:pStyle w:val="29"/>
        <w:widowControl/>
        <w:spacing w:before="240" w:after="240"/>
        <w:jc w:val="left"/>
        <w:rPr>
          <w:rFonts w:ascii="Times New Roman" w:hAnsi="Times New Roman" w:eastAsia="Times New Roman" w:cs="Times New Roman"/>
          <w:kern w:val="0"/>
          <w:sz w:val="24"/>
        </w:rPr>
      </w:pPr>
    </w:p>
    <w:p w14:paraId="4994F462">
      <w:pPr>
        <w:pStyle w:val="29"/>
        <w:widowControl/>
        <w:spacing w:before="240" w:after="240"/>
        <w:jc w:val="left"/>
        <w:rPr>
          <w:rFonts w:ascii="Times New Roman" w:hAnsi="Times New Roman" w:eastAsia="Times New Roman" w:cs="Times New Roman"/>
          <w:kern w:val="0"/>
          <w:sz w:val="24"/>
        </w:rPr>
      </w:pPr>
    </w:p>
    <w:p w14:paraId="55B9195A">
      <w:pPr>
        <w:pStyle w:val="29"/>
        <w:widowControl/>
        <w:spacing w:before="240" w:after="240"/>
        <w:jc w:val="left"/>
        <w:rPr>
          <w:rFonts w:ascii="Times New Roman" w:hAnsi="Times New Roman" w:eastAsia="Times New Roman" w:cs="Times New Roman"/>
          <w:kern w:val="0"/>
          <w:sz w:val="24"/>
        </w:rPr>
      </w:pPr>
    </w:p>
    <w:p w14:paraId="239796B8">
      <w:pPr>
        <w:pStyle w:val="29"/>
        <w:widowControl/>
        <w:spacing w:before="240" w:after="240"/>
        <w:jc w:val="left"/>
        <w:rPr>
          <w:rFonts w:ascii="Times New Roman" w:hAnsi="Times New Roman" w:eastAsia="Times New Roman" w:cs="Times New Roman"/>
          <w:kern w:val="0"/>
          <w:sz w:val="24"/>
        </w:rPr>
      </w:pPr>
    </w:p>
    <w:p w14:paraId="78C2C079">
      <w:pPr>
        <w:pStyle w:val="29"/>
        <w:widowControl/>
        <w:spacing w:before="240" w:after="240"/>
        <w:jc w:val="left"/>
        <w:rPr>
          <w:rFonts w:ascii="Times New Roman" w:hAnsi="Times New Roman" w:eastAsia="Times New Roman" w:cs="Times New Roman"/>
          <w:kern w:val="0"/>
          <w:sz w:val="24"/>
        </w:rPr>
      </w:pPr>
    </w:p>
    <w:p w14:paraId="3AA6B683">
      <w:pPr>
        <w:pStyle w:val="29"/>
        <w:widowControl/>
        <w:spacing w:before="240" w:after="240"/>
        <w:jc w:val="left"/>
        <w:rPr>
          <w:rFonts w:ascii="Times New Roman" w:hAnsi="Times New Roman" w:eastAsia="Times New Roman" w:cs="Times New Roman"/>
          <w:kern w:val="0"/>
          <w:sz w:val="24"/>
        </w:rPr>
      </w:pPr>
    </w:p>
    <w:p w14:paraId="64B54D0A">
      <w:pPr>
        <w:pStyle w:val="3"/>
        <w:keepNext w:val="0"/>
        <w:keepLines w:val="0"/>
        <w:spacing w:before="299" w:after="299" w:line="240" w:lineRule="auto"/>
        <w:ind w:firstLine="0" w:firstLineChars="0"/>
        <w:jc w:val="center"/>
        <w:rPr>
          <w:rFonts w:ascii="Times New Roman" w:hAnsi="Times New Roman" w:eastAsia="Times New Roman" w:cs="Times New Roman"/>
          <w:b/>
          <w:bCs/>
          <w:kern w:val="0"/>
          <w:sz w:val="36"/>
          <w:szCs w:val="36"/>
        </w:rPr>
      </w:pPr>
      <w:bookmarkStart w:id="151" w:name="_Toc256000104"/>
      <w:bookmarkStart w:id="152" w:name="_Toc256000026"/>
      <w:bookmarkStart w:id="153" w:name="_Toc256000131"/>
      <w:bookmarkStart w:id="154" w:name="_Toc256000080"/>
      <w:bookmarkStart w:id="155" w:name="_Toc256000053"/>
      <w:bookmarkStart w:id="156" w:name="_Toc256000158"/>
      <w:r>
        <w:rPr>
          <w:rFonts w:ascii="黑体" w:hAnsi="黑体" w:eastAsia="黑体" w:cs="黑体"/>
          <w:b w:val="0"/>
          <w:bCs w:val="0"/>
          <w:sz w:val="56"/>
          <w:szCs w:val="56"/>
        </w:rPr>
        <w:t>第五部分</w:t>
      </w:r>
      <w:r>
        <w:rPr>
          <w:rFonts w:ascii="黑体" w:hAnsi="黑体" w:eastAsia="黑体" w:cs="黑体"/>
          <w:b w:val="0"/>
          <w:bCs w:val="0"/>
          <w:sz w:val="56"/>
          <w:szCs w:val="56"/>
        </w:rPr>
        <w:br w:type="textWrapping"/>
      </w:r>
      <w:r>
        <w:rPr>
          <w:rFonts w:ascii="黑体" w:hAnsi="黑体" w:eastAsia="黑体" w:cs="黑体"/>
          <w:b w:val="0"/>
          <w:bCs w:val="0"/>
          <w:sz w:val="56"/>
          <w:szCs w:val="56"/>
        </w:rPr>
        <w:t>附件</w:t>
      </w:r>
      <w:bookmarkEnd w:id="151"/>
      <w:bookmarkEnd w:id="152"/>
      <w:bookmarkEnd w:id="153"/>
      <w:bookmarkEnd w:id="154"/>
      <w:bookmarkEnd w:id="155"/>
      <w:bookmarkEnd w:id="156"/>
    </w:p>
    <w:p w14:paraId="4F9F4104">
      <w:pPr>
        <w:sectPr>
          <w:footerReference r:id="rId21" w:type="default"/>
          <w:pgSz w:w="11906" w:h="16838"/>
          <w:pgMar w:top="1440" w:right="720" w:bottom="1440" w:left="720" w:header="720" w:footer="720" w:gutter="0"/>
          <w:cols w:space="720" w:num="1"/>
        </w:sectPr>
      </w:pPr>
    </w:p>
    <w:p w14:paraId="5DDC85A5">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6E92375D">
      <w:pPr>
        <w:pStyle w:val="29"/>
        <w:widowControl/>
        <w:spacing w:before="240" w:after="240" w:line="560" w:lineRule="atLeast"/>
        <w:ind w:firstLine="640"/>
        <w:jc w:val="left"/>
        <w:rPr>
          <w:rFonts w:ascii="Times New Roman" w:hAnsi="Times New Roman" w:eastAsia="Times New Roman" w:cs="Times New Roman"/>
          <w:kern w:val="0"/>
          <w:sz w:val="24"/>
        </w:rPr>
      </w:pPr>
      <w:r>
        <w:rPr>
          <w:rFonts w:ascii="黑体" w:hAnsi="黑体" w:eastAsia="黑体" w:cs="黑体"/>
          <w:kern w:val="0"/>
          <w:sz w:val="32"/>
          <w:szCs w:val="32"/>
        </w:rPr>
        <w:t>《项目支出绩效自评表》</w:t>
      </w:r>
    </w:p>
    <w:p w14:paraId="1700516C">
      <w:pPr>
        <w:widowControl/>
        <w:ind w:firstLine="560" w:firstLineChars="200"/>
        <w:jc w:val="both"/>
        <w:rPr>
          <w:rFonts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28"/>
          <w:szCs w:val="28"/>
          <w:lang w:val="en-US" w:eastAsia="zh-CN" w:bidi="ar-SA"/>
        </w:rPr>
        <w:t>本单位2024年无相关单位自评项目，无《项目支出绩效自评表》。</w:t>
      </w:r>
    </w:p>
    <w:bookmarkEnd w:id="0"/>
    <w:p w14:paraId="2EED04F9">
      <w:pPr>
        <w:keepNext w:val="0"/>
        <w:keepLines w:val="0"/>
        <w:pageBreakBefore w:val="0"/>
        <w:widowControl w:val="0"/>
        <w:tabs>
          <w:tab w:val="left" w:pos="8415"/>
        </w:tabs>
        <w:kinsoku/>
        <w:wordWrap/>
        <w:overflowPunct/>
        <w:topLinePunct w:val="0"/>
        <w:autoSpaceDE/>
        <w:autoSpaceDN/>
        <w:bidi w:val="0"/>
        <w:adjustRightInd/>
        <w:snapToGrid/>
        <w:textAlignment w:val="auto"/>
      </w:pPr>
    </w:p>
    <w:sectPr>
      <w:footerReference r:id="rId22" w:type="default"/>
      <w:pgSz w:w="11906" w:h="16838"/>
      <w:pgMar w:top="1984" w:right="1083" w:bottom="1984" w:left="1083" w:header="0" w:footer="720"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72CB4">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38664">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24</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7EC9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27</w:t>
    </w:r>
    <w:r>
      <w:rPr>
        <w:rFonts w:ascii="宋体" w:hAnsi="宋体" w:eastAsia="宋体" w:cs="宋体"/>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57F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28</w:t>
    </w:r>
    <w:r>
      <w:rPr>
        <w:rFonts w:ascii="宋体" w:hAnsi="宋体" w:eastAsia="宋体" w:cs="宋体"/>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E9857">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29</w:t>
    </w:r>
    <w:r>
      <w:rPr>
        <w:rFonts w:ascii="宋体" w:hAnsi="宋体" w:eastAsia="宋体" w:cs="宋体"/>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7540E">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30</w:t>
    </w:r>
    <w:r>
      <w:rPr>
        <w:rFonts w:ascii="宋体" w:hAnsi="宋体" w:eastAsia="宋体" w:cs="宋体"/>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10433">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31</w:t>
    </w:r>
    <w:r>
      <w:rPr>
        <w:rFonts w:ascii="宋体" w:hAnsi="宋体" w:eastAsia="宋体" w:cs="宋体"/>
        <w:sz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876C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39</w:t>
    </w:r>
    <w:r>
      <w:rPr>
        <w:rFonts w:ascii="宋体" w:hAnsi="宋体" w:eastAsia="宋体" w:cs="宋体"/>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C7DCB">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40</w:t>
    </w:r>
    <w:r>
      <w:rPr>
        <w:rFonts w:ascii="宋体" w:hAnsi="宋体" w:eastAsia="宋体" w:cs="宋体"/>
        <w:sz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13F8E">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42</w:t>
    </w:r>
    <w:r>
      <w:rPr>
        <w:rFonts w:ascii="宋体" w:hAnsi="宋体" w:eastAsia="宋体" w:cs="宋体"/>
        <w:sz w:val="18"/>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3694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43</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2331F">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0504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45</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8A305">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76244">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7</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4670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8</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B1EF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10</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25DC3">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15</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E2EA9">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18</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5EA3F">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21</w:t>
    </w:r>
    <w:r>
      <w:rPr>
        <w:rFonts w:ascii="宋体" w:hAnsi="宋体" w:eastAsia="宋体" w:cs="宋体"/>
        <w:sz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3D247E"/>
    <w:multiLevelType w:val="multilevel"/>
    <w:tmpl w:val="273D247E"/>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useFELayout/>
    <w:splitPgBreakAndParaMark/>
    <w:compatSetting w:name="compatibilityMode" w:uri="http://schemas.microsoft.com/office/word" w:val="12"/>
  </w:compat>
  <w:rsids>
    <w:rsidRoot w:val="00000000"/>
    <w:rsid w:val="00E2394A"/>
    <w:rsid w:val="05263B5D"/>
    <w:rsid w:val="111B64C0"/>
    <w:rsid w:val="1A3816C3"/>
    <w:rsid w:val="2ED55B28"/>
    <w:rsid w:val="3AC058DE"/>
    <w:rsid w:val="43677F87"/>
    <w:rsid w:val="46E97F6B"/>
    <w:rsid w:val="50A218B6"/>
    <w:rsid w:val="50FE0AB7"/>
    <w:rsid w:val="5382777D"/>
    <w:rsid w:val="57832F7A"/>
    <w:rsid w:val="5B595267"/>
    <w:rsid w:val="5D944E73"/>
    <w:rsid w:val="67144738"/>
    <w:rsid w:val="75D25EEA"/>
    <w:rsid w:val="7FB510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
      <w:bCs/>
      <w:kern w:val="44"/>
      <w:sz w:val="32"/>
      <w:szCs w:val="44"/>
    </w:rPr>
  </w:style>
  <w:style w:type="paragraph" w:styleId="3">
    <w:name w:val="heading 2"/>
    <w:basedOn w:val="4"/>
    <w:next w:val="4"/>
    <w:qFormat/>
    <w:uiPriority w:val="0"/>
    <w:pPr>
      <w:keepNext/>
      <w:keepLines/>
      <w:spacing w:before="260" w:after="260" w:line="416" w:lineRule="auto"/>
      <w:outlineLvl w:val="1"/>
    </w:pPr>
    <w:rPr>
      <w:rFonts w:ascii="Arial" w:hAnsi="Arial" w:eastAsia="仿宋"/>
      <w:bCs/>
      <w:sz w:val="32"/>
      <w:szCs w:val="32"/>
    </w:rPr>
  </w:style>
  <w:style w:type="paragraph" w:styleId="5">
    <w:name w:val="heading 3"/>
    <w:basedOn w:val="4"/>
    <w:next w:val="4"/>
    <w:link w:val="27"/>
    <w:qFormat/>
    <w:uiPriority w:val="0"/>
    <w:pPr>
      <w:keepNext/>
      <w:keepLines/>
      <w:spacing w:before="260" w:after="260" w:line="416" w:lineRule="auto"/>
      <w:outlineLvl w:val="2"/>
    </w:pPr>
    <w:rPr>
      <w:rFonts w:eastAsia="仿宋"/>
      <w:bCs/>
      <w:sz w:val="32"/>
      <w:szCs w:val="32"/>
    </w:rPr>
  </w:style>
  <w:style w:type="paragraph" w:styleId="6">
    <w:name w:val="heading 4"/>
    <w:basedOn w:val="4"/>
    <w:next w:val="4"/>
    <w:link w:val="23"/>
    <w:qFormat/>
    <w:uiPriority w:val="0"/>
    <w:pPr>
      <w:keepNext/>
      <w:keepLines/>
      <w:spacing w:before="280" w:after="290" w:line="376" w:lineRule="auto"/>
      <w:outlineLvl w:val="3"/>
    </w:pPr>
    <w:rPr>
      <w:rFonts w:ascii="Cambria" w:hAnsi="Cambria" w:eastAsia="仿宋"/>
      <w:bCs/>
      <w:sz w:val="32"/>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paragraph" w:styleId="7">
    <w:name w:val="toc 7"/>
    <w:basedOn w:val="1"/>
    <w:next w:val="1"/>
    <w:autoRedefine/>
    <w:qFormat/>
    <w:uiPriority w:val="0"/>
    <w:pPr>
      <w:ind w:left="1260"/>
      <w:jc w:val="left"/>
    </w:pPr>
    <w:rPr>
      <w:sz w:val="20"/>
      <w:szCs w:val="20"/>
    </w:rPr>
  </w:style>
  <w:style w:type="paragraph" w:styleId="8">
    <w:name w:val="Document Map"/>
    <w:basedOn w:val="1"/>
    <w:qFormat/>
    <w:uiPriority w:val="0"/>
    <w:pPr>
      <w:shd w:val="clear" w:color="auto" w:fill="000080"/>
    </w:pPr>
  </w:style>
  <w:style w:type="paragraph" w:styleId="9">
    <w:name w:val="toc 5"/>
    <w:basedOn w:val="1"/>
    <w:next w:val="1"/>
    <w:autoRedefine/>
    <w:qFormat/>
    <w:uiPriority w:val="0"/>
    <w:pPr>
      <w:ind w:left="840"/>
      <w:jc w:val="left"/>
    </w:pPr>
    <w:rPr>
      <w:sz w:val="20"/>
      <w:szCs w:val="20"/>
    </w:rPr>
  </w:style>
  <w:style w:type="paragraph" w:styleId="10">
    <w:name w:val="toc 3"/>
    <w:next w:val="5"/>
    <w:qFormat/>
    <w:uiPriority w:val="0"/>
    <w:pPr>
      <w:adjustRightInd w:val="0"/>
      <w:snapToGrid w:val="0"/>
      <w:spacing w:line="360" w:lineRule="auto"/>
      <w:ind w:firstLine="400" w:firstLineChars="400"/>
      <w:jc w:val="left"/>
    </w:pPr>
    <w:rPr>
      <w:rFonts w:ascii="Times New Roman" w:hAnsi="Times New Roman" w:eastAsia="仿宋" w:cs="Times New Roman"/>
      <w:sz w:val="32"/>
      <w:szCs w:val="20"/>
      <w:lang w:val="en-US" w:eastAsia="en-US" w:bidi="ar-SA"/>
    </w:rPr>
  </w:style>
  <w:style w:type="paragraph" w:styleId="11">
    <w:name w:val="toc 8"/>
    <w:basedOn w:val="1"/>
    <w:next w:val="1"/>
    <w:autoRedefine/>
    <w:qFormat/>
    <w:uiPriority w:val="0"/>
    <w:pPr>
      <w:ind w:left="1470"/>
      <w:jc w:val="left"/>
    </w:pPr>
    <w:rPr>
      <w:sz w:val="20"/>
      <w:szCs w:val="20"/>
    </w:rPr>
  </w:style>
  <w:style w:type="paragraph" w:styleId="12">
    <w:name w:val="footer"/>
    <w:basedOn w:val="1"/>
    <w:link w:val="25"/>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next w:val="4"/>
    <w:qFormat/>
    <w:uiPriority w:val="0"/>
    <w:pPr>
      <w:adjustRightInd w:val="0"/>
      <w:snapToGrid w:val="0"/>
      <w:spacing w:line="360" w:lineRule="auto"/>
      <w:jc w:val="left"/>
    </w:pPr>
    <w:rPr>
      <w:rFonts w:ascii="Times New Roman" w:hAnsi="Times New Roman" w:eastAsia="仿宋" w:cs="Times New Roman"/>
      <w:bCs/>
      <w:sz w:val="32"/>
      <w:szCs w:val="20"/>
      <w:lang w:val="en-US" w:eastAsia="en-US" w:bidi="ar-SA"/>
    </w:rPr>
  </w:style>
  <w:style w:type="paragraph" w:styleId="15">
    <w:name w:val="toc 4"/>
    <w:basedOn w:val="1"/>
    <w:next w:val="1"/>
    <w:autoRedefine/>
    <w:qFormat/>
    <w:uiPriority w:val="0"/>
    <w:pPr>
      <w:ind w:left="630"/>
      <w:jc w:val="left"/>
    </w:pPr>
    <w:rPr>
      <w:sz w:val="20"/>
      <w:szCs w:val="20"/>
    </w:rPr>
  </w:style>
  <w:style w:type="paragraph" w:styleId="16">
    <w:name w:val="toc 6"/>
    <w:basedOn w:val="1"/>
    <w:next w:val="1"/>
    <w:autoRedefine/>
    <w:qFormat/>
    <w:uiPriority w:val="0"/>
    <w:pPr>
      <w:ind w:left="1050"/>
      <w:jc w:val="left"/>
    </w:pPr>
    <w:rPr>
      <w:sz w:val="20"/>
      <w:szCs w:val="20"/>
    </w:rPr>
  </w:style>
  <w:style w:type="paragraph" w:styleId="17">
    <w:name w:val="toc 2"/>
    <w:next w:val="4"/>
    <w:qFormat/>
    <w:uiPriority w:val="0"/>
    <w:pPr>
      <w:adjustRightInd w:val="0"/>
      <w:snapToGrid w:val="0"/>
      <w:spacing w:line="360" w:lineRule="auto"/>
      <w:ind w:firstLine="200" w:firstLineChars="200"/>
      <w:jc w:val="left"/>
    </w:pPr>
    <w:rPr>
      <w:rFonts w:ascii="Times New Roman" w:hAnsi="Times New Roman" w:eastAsia="仿宋" w:cs="Times New Roman"/>
      <w:b/>
      <w:iCs/>
      <w:sz w:val="32"/>
      <w:szCs w:val="20"/>
      <w:lang w:val="en-US" w:eastAsia="en-US" w:bidi="ar-SA"/>
    </w:rPr>
  </w:style>
  <w:style w:type="paragraph" w:styleId="18">
    <w:name w:val="toc 9"/>
    <w:basedOn w:val="1"/>
    <w:next w:val="1"/>
    <w:autoRedefine/>
    <w:qFormat/>
    <w:uiPriority w:val="0"/>
    <w:pPr>
      <w:ind w:left="1680"/>
      <w:jc w:val="left"/>
    </w:pPr>
    <w:rPr>
      <w:sz w:val="20"/>
      <w:szCs w:val="20"/>
    </w:rPr>
  </w:style>
  <w:style w:type="character" w:styleId="21">
    <w:name w:val="page number"/>
    <w:basedOn w:val="20"/>
    <w:qFormat/>
    <w:uiPriority w:val="0"/>
  </w:style>
  <w:style w:type="character" w:styleId="22">
    <w:name w:val="Hyperlink"/>
    <w:qFormat/>
    <w:uiPriority w:val="0"/>
    <w:rPr>
      <w:rFonts w:ascii="宋体" w:hAnsi="宋体" w:eastAsia="仿宋" w:cs="Times New Roman"/>
      <w:kern w:val="2"/>
      <w:sz w:val="32"/>
      <w:szCs w:val="32"/>
      <w:lang w:val="en-US" w:eastAsia="zh-CN" w:bidi="ar-SA"/>
    </w:rPr>
  </w:style>
  <w:style w:type="character" w:customStyle="1" w:styleId="23">
    <w:name w:val="标题 4 字符"/>
    <w:basedOn w:val="20"/>
    <w:link w:val="6"/>
    <w:qFormat/>
    <w:uiPriority w:val="0"/>
    <w:rPr>
      <w:rFonts w:ascii="Cambria" w:hAnsi="Cambria" w:eastAsia="仿宋"/>
      <w:bCs/>
      <w:kern w:val="2"/>
      <w:sz w:val="32"/>
      <w:szCs w:val="28"/>
    </w:rPr>
  </w:style>
  <w:style w:type="character" w:customStyle="1" w:styleId="24">
    <w:name w:val="无间隔 字符"/>
    <w:link w:val="4"/>
    <w:qFormat/>
    <w:locked/>
    <w:uiPriority w:val="0"/>
    <w:rPr>
      <w:rFonts w:eastAsia="仿宋_GB2312"/>
      <w:sz w:val="30"/>
      <w:szCs w:val="22"/>
      <w:lang w:bidi="ar-SA"/>
    </w:rPr>
  </w:style>
  <w:style w:type="character" w:customStyle="1" w:styleId="25">
    <w:name w:val="页脚 字符"/>
    <w:basedOn w:val="20"/>
    <w:link w:val="12"/>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字符"/>
    <w:basedOn w:val="20"/>
    <w:link w:val="5"/>
    <w:qFormat/>
    <w:uiPriority w:val="0"/>
    <w:rPr>
      <w:rFonts w:eastAsia="仿宋"/>
      <w:bCs/>
      <w:kern w:val="2"/>
      <w:sz w:val="32"/>
      <w:szCs w:val="32"/>
    </w:rPr>
  </w:style>
  <w:style w:type="paragraph" w:customStyle="1" w:styleId="28">
    <w:name w:val="p"/>
    <w:basedOn w:val="1"/>
    <w:qFormat/>
    <w:uiPriority w:val="0"/>
  </w:style>
  <w:style w:type="paragraph" w:customStyle="1" w:styleId="29">
    <w:name w:val="MsoNormal"/>
    <w:basedOn w:val="1"/>
    <w:qFormat/>
    <w:uiPriority w:val="0"/>
  </w:style>
  <w:style w:type="character" w:customStyle="1" w:styleId="30">
    <w:name w:val="15"/>
    <w:basedOn w:val="20"/>
    <w:qFormat/>
    <w:uiPriority w:val="0"/>
  </w:style>
  <w:style w:type="table" w:customStyle="1" w:styleId="31">
    <w:name w:val="MsoNormalTable mce-item-table"/>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theme" Target="theme/theme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46</Pages>
  <Words>5374</Words>
  <Characters>7072</Characters>
  <Lines>1</Lines>
  <Paragraphs>1</Paragraphs>
  <TotalTime>2</TotalTime>
  <ScaleCrop>false</ScaleCrop>
  <LinksUpToDate>false</LinksUpToDate>
  <CharactersWithSpaces>7252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Fang²</cp:lastModifiedBy>
  <cp:lastPrinted>2021-04-16T00:45:00Z</cp:lastPrinted>
  <dcterms:modified xsi:type="dcterms:W3CDTF">2025-09-26T01:52:20Z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66C67484C41D4C05B3487E28FB439B3F_13</vt:lpwstr>
  </property>
  <property fmtid="{D5CDD505-2E9C-101B-9397-08002B2CF9AE}" pid="3" name="KSOProductBuildVer">
    <vt:lpwstr>2052-12.1.0.22529</vt:lpwstr>
  </property>
  <property fmtid="{D5CDD505-2E9C-101B-9397-08002B2CF9AE}" pid="4" name="KSOTemplateDocerSaveRecord">
    <vt:lpwstr>eyJoZGlkIjoiZGYzMWZmMDk1ZTdiMjM4ZmJhNGJlMGIxNzZjYjE0ZjIiLCJ1c2VySWQiOiIxMTI1Mzg5NTE3In0=</vt:lpwstr>
  </property>
</Properties>
</file>