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0AE6DF7">
      <w:pPr>
        <w:widowControl/>
        <w:jc w:val="center"/>
        <w:rPr>
          <w:sz w:val="32"/>
          <w:szCs w:val="32"/>
          <w:highlight w:val="none"/>
        </w:rPr>
      </w:pPr>
    </w:p>
    <w:p w14:paraId="3E466969">
      <w:pPr>
        <w:widowControl/>
        <w:jc w:val="both"/>
        <w:rPr>
          <w:sz w:val="84"/>
          <w:szCs w:val="84"/>
          <w:highlight w:val="none"/>
        </w:rPr>
      </w:pPr>
    </w:p>
    <w:p w14:paraId="14E47F14">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14:paraId="2612820C">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莆田市荔城区镇海街道综合便民服务中心</w:t>
      </w:r>
    </w:p>
    <w:p w14:paraId="25C05BAC">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szCs w:val="84"/>
          <w:highlight w:val="none"/>
          <w:lang w:val="en-US" w:eastAsia="zh-CN"/>
        </w:rPr>
        <w:t>单位</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54EB9CAB">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14:paraId="0F9026E0">
          <w:pPr>
            <w:pStyle w:val="17"/>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"_Toc256000132" </w:instrText>
          </w:r>
          <w:r>
            <w:fldChar w:fldCharType="separate"/>
          </w:r>
          <w:r>
            <w:rPr>
              <w:rStyle w:val="22"/>
              <w:rFonts w:ascii="仿宋" w:hAnsi="仿宋" w:eastAsia="仿宋" w:cs="仿宋"/>
            </w:rPr>
            <w:t>第一部分</w:t>
          </w:r>
          <w:r>
            <w:rPr>
              <w:rStyle w:val="22"/>
              <w:rFonts w:ascii="黑体" w:hAnsi="黑体" w:eastAsia="黑体" w:cs="黑体"/>
            </w:rPr>
            <w:t xml:space="preserve"> </w:t>
          </w:r>
          <w:r>
            <w:rPr>
              <w:rStyle w:val="22"/>
              <w:rFonts w:ascii="仿宋" w:hAnsi="仿宋" w:eastAsia="仿宋" w:cs="仿宋"/>
            </w:rPr>
            <w:t>单位概况</w:t>
          </w:r>
          <w:r>
            <w:tab/>
          </w:r>
          <w:r>
            <w:fldChar w:fldCharType="begin"/>
          </w:r>
          <w:r>
            <w:instrText xml:space="preserve"> PAGEREF _Toc256000132 \h </w:instrText>
          </w:r>
          <w:r>
            <w:fldChar w:fldCharType="separate"/>
          </w:r>
          <w:r>
            <w:t>1</w:t>
          </w:r>
          <w:r>
            <w:fldChar w:fldCharType="end"/>
          </w:r>
          <w:r>
            <w:fldChar w:fldCharType="end"/>
          </w:r>
        </w:p>
        <w:p w14:paraId="7CA2E2DB">
          <w:pPr>
            <w:pStyle w:val="10"/>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2"/>
              <w:rFonts w:ascii="仿宋" w:hAnsi="仿宋" w:eastAsia="仿宋" w:cs="仿宋"/>
            </w:rPr>
            <w:t>一、单位主要职责</w:t>
          </w:r>
          <w:r>
            <w:tab/>
          </w:r>
          <w:r>
            <w:fldChar w:fldCharType="begin"/>
          </w:r>
          <w:r>
            <w:instrText xml:space="preserve"> PAGEREF _Toc256000133 \h </w:instrText>
          </w:r>
          <w:r>
            <w:fldChar w:fldCharType="separate"/>
          </w:r>
          <w:r>
            <w:t>2</w:t>
          </w:r>
          <w:r>
            <w:fldChar w:fldCharType="end"/>
          </w:r>
          <w:r>
            <w:fldChar w:fldCharType="end"/>
          </w:r>
        </w:p>
        <w:p w14:paraId="747043B0">
          <w:pPr>
            <w:pStyle w:val="10"/>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2"/>
              <w:rFonts w:ascii="仿宋" w:hAnsi="仿宋" w:eastAsia="仿宋" w:cs="仿宋"/>
            </w:rPr>
            <w:t>二、单位基本情况</w:t>
          </w:r>
          <w:r>
            <w:tab/>
          </w:r>
          <w:r>
            <w:fldChar w:fldCharType="begin"/>
          </w:r>
          <w:r>
            <w:instrText xml:space="preserve"> PAGEREF _Toc256000134 \h </w:instrText>
          </w:r>
          <w:r>
            <w:fldChar w:fldCharType="separate"/>
          </w:r>
          <w:r>
            <w:t>2</w:t>
          </w:r>
          <w:r>
            <w:fldChar w:fldCharType="end"/>
          </w:r>
          <w:r>
            <w:fldChar w:fldCharType="end"/>
          </w:r>
        </w:p>
        <w:p w14:paraId="45DBA203">
          <w:pPr>
            <w:pStyle w:val="10"/>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2"/>
              <w:rFonts w:ascii="仿宋" w:hAnsi="仿宋" w:eastAsia="仿宋" w:cs="仿宋"/>
            </w:rPr>
            <w:t>三、单位主要工作总结</w:t>
          </w:r>
          <w:r>
            <w:tab/>
          </w:r>
          <w:r>
            <w:fldChar w:fldCharType="begin"/>
          </w:r>
          <w:r>
            <w:instrText xml:space="preserve"> PAGEREF _Toc256000135 \h </w:instrText>
          </w:r>
          <w:r>
            <w:fldChar w:fldCharType="separate"/>
          </w:r>
          <w:r>
            <w:t>3</w:t>
          </w:r>
          <w:r>
            <w:fldChar w:fldCharType="end"/>
          </w:r>
          <w:r>
            <w:fldChar w:fldCharType="end"/>
          </w:r>
        </w:p>
        <w:p w14:paraId="5A1CE074">
          <w:pPr>
            <w:pStyle w:val="17"/>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2"/>
              <w:rFonts w:ascii="仿宋" w:hAnsi="仿宋" w:eastAsia="仿宋" w:cs="仿宋"/>
            </w:rPr>
            <w:t>第二部分</w:t>
          </w:r>
          <w:r>
            <w:rPr>
              <w:rStyle w:val="22"/>
              <w:rFonts w:ascii="黑体" w:hAnsi="黑体" w:eastAsia="黑体" w:cs="黑体"/>
            </w:rPr>
            <w:t xml:space="preserve"> </w:t>
          </w:r>
          <w:r>
            <w:rPr>
              <w:rStyle w:val="22"/>
              <w:rFonts w:ascii="仿宋" w:hAnsi="仿宋" w:eastAsia="仿宋" w:cs="仿宋"/>
            </w:rPr>
            <w:t>2024年度单位决算表</w:t>
          </w:r>
          <w:r>
            <w:tab/>
          </w:r>
          <w:r>
            <w:fldChar w:fldCharType="begin"/>
          </w:r>
          <w:r>
            <w:instrText xml:space="preserve"> PAGEREF _Toc256000136 \h </w:instrText>
          </w:r>
          <w:r>
            <w:fldChar w:fldCharType="separate"/>
          </w:r>
          <w:r>
            <w:t>8</w:t>
          </w:r>
          <w:r>
            <w:fldChar w:fldCharType="end"/>
          </w:r>
          <w:r>
            <w:fldChar w:fldCharType="end"/>
          </w:r>
        </w:p>
        <w:p w14:paraId="660F6B68">
          <w:pPr>
            <w:pStyle w:val="10"/>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2"/>
              <w:rFonts w:ascii="仿宋" w:hAnsi="仿宋" w:eastAsia="仿宋" w:cs="仿宋"/>
            </w:rPr>
            <w:t>一、收入支出决算总表</w:t>
          </w:r>
          <w:r>
            <w:tab/>
          </w:r>
          <w:r>
            <w:fldChar w:fldCharType="begin"/>
          </w:r>
          <w:r>
            <w:instrText xml:space="preserve"> PAGEREF _Toc256000137 \h </w:instrText>
          </w:r>
          <w:r>
            <w:fldChar w:fldCharType="separate"/>
          </w:r>
          <w:r>
            <w:t>9</w:t>
          </w:r>
          <w:r>
            <w:fldChar w:fldCharType="end"/>
          </w:r>
          <w:r>
            <w:fldChar w:fldCharType="end"/>
          </w:r>
        </w:p>
        <w:p w14:paraId="2C1BCD9C">
          <w:pPr>
            <w:pStyle w:val="10"/>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2"/>
              <w:rFonts w:ascii="仿宋" w:hAnsi="仿宋" w:eastAsia="仿宋" w:cs="仿宋"/>
            </w:rPr>
            <w:t>二、收入决算表</w:t>
          </w:r>
          <w:r>
            <w:tab/>
          </w:r>
          <w:r>
            <w:fldChar w:fldCharType="begin"/>
          </w:r>
          <w:r>
            <w:instrText xml:space="preserve"> PAGEREF _Toc256000138 \h </w:instrText>
          </w:r>
          <w:r>
            <w:fldChar w:fldCharType="separate"/>
          </w:r>
          <w:r>
            <w:t>11</w:t>
          </w:r>
          <w:r>
            <w:fldChar w:fldCharType="end"/>
          </w:r>
          <w:r>
            <w:fldChar w:fldCharType="end"/>
          </w:r>
        </w:p>
        <w:p w14:paraId="0099A6F8">
          <w:pPr>
            <w:pStyle w:val="10"/>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2"/>
              <w:rFonts w:ascii="仿宋" w:hAnsi="仿宋" w:eastAsia="仿宋" w:cs="仿宋"/>
            </w:rPr>
            <w:t>三、支出决算表</w:t>
          </w:r>
          <w:r>
            <w:tab/>
          </w:r>
          <w:r>
            <w:fldChar w:fldCharType="begin"/>
          </w:r>
          <w:r>
            <w:instrText xml:space="preserve"> PAGEREF _Toc256000139 \h </w:instrText>
          </w:r>
          <w:r>
            <w:fldChar w:fldCharType="separate"/>
          </w:r>
          <w:r>
            <w:t>13</w:t>
          </w:r>
          <w:r>
            <w:fldChar w:fldCharType="end"/>
          </w:r>
          <w:r>
            <w:fldChar w:fldCharType="end"/>
          </w:r>
        </w:p>
        <w:p w14:paraId="604B5893">
          <w:pPr>
            <w:pStyle w:val="10"/>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2"/>
              <w:rFonts w:ascii="仿宋" w:hAnsi="仿宋" w:eastAsia="仿宋" w:cs="仿宋"/>
            </w:rPr>
            <w:t>四、财政拨款收入支出决算总表</w:t>
          </w:r>
          <w:r>
            <w:tab/>
          </w:r>
          <w:r>
            <w:fldChar w:fldCharType="begin"/>
          </w:r>
          <w:r>
            <w:instrText xml:space="preserve"> PAGEREF _Toc256000140 \h </w:instrText>
          </w:r>
          <w:r>
            <w:fldChar w:fldCharType="separate"/>
          </w:r>
          <w:r>
            <w:t>14</w:t>
          </w:r>
          <w:r>
            <w:fldChar w:fldCharType="end"/>
          </w:r>
          <w:r>
            <w:fldChar w:fldCharType="end"/>
          </w:r>
        </w:p>
        <w:p w14:paraId="6AD2507D">
          <w:pPr>
            <w:pStyle w:val="10"/>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2"/>
              <w:rFonts w:ascii="仿宋" w:hAnsi="仿宋" w:eastAsia="仿宋" w:cs="仿宋"/>
            </w:rPr>
            <w:t>五、一般公共预算财政拨款支出决算表</w:t>
          </w:r>
          <w:r>
            <w:tab/>
          </w:r>
          <w:r>
            <w:fldChar w:fldCharType="begin"/>
          </w:r>
          <w:r>
            <w:instrText xml:space="preserve"> PAGEREF _Toc256000141 \h </w:instrText>
          </w:r>
          <w:r>
            <w:fldChar w:fldCharType="separate"/>
          </w:r>
          <w:r>
            <w:t>17</w:t>
          </w:r>
          <w:r>
            <w:fldChar w:fldCharType="end"/>
          </w:r>
          <w:r>
            <w:fldChar w:fldCharType="end"/>
          </w:r>
        </w:p>
        <w:p w14:paraId="3DADEAB0">
          <w:pPr>
            <w:pStyle w:val="10"/>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2"/>
              <w:rFonts w:ascii="仿宋" w:hAnsi="仿宋" w:eastAsia="仿宋" w:cs="仿宋"/>
            </w:rPr>
            <w:t>六、一般公共预算财政拨款基本支出决算表</w:t>
          </w:r>
          <w:r>
            <w:tab/>
          </w:r>
          <w:r>
            <w:fldChar w:fldCharType="begin"/>
          </w:r>
          <w:r>
            <w:instrText xml:space="preserve"> PAGEREF _Toc256000142 \h </w:instrText>
          </w:r>
          <w:r>
            <w:fldChar w:fldCharType="separate"/>
          </w:r>
          <w:r>
            <w:t>18</w:t>
          </w:r>
          <w:r>
            <w:fldChar w:fldCharType="end"/>
          </w:r>
          <w:r>
            <w:fldChar w:fldCharType="end"/>
          </w:r>
        </w:p>
        <w:p w14:paraId="56F13477">
          <w:pPr>
            <w:pStyle w:val="10"/>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2"/>
              <w:rFonts w:ascii="仿宋" w:hAnsi="仿宋" w:eastAsia="仿宋" w:cs="仿宋"/>
            </w:rPr>
            <w:t>七、一般公共预算财政拨款“三公”经费支出决算表</w:t>
          </w:r>
          <w:r>
            <w:tab/>
          </w:r>
          <w:r>
            <w:fldChar w:fldCharType="begin"/>
          </w:r>
          <w:r>
            <w:instrText xml:space="preserve"> PAGEREF _Toc256000144 \h </w:instrText>
          </w:r>
          <w:r>
            <w:fldChar w:fldCharType="separate"/>
          </w:r>
          <w:r>
            <w:t>21</w:t>
          </w:r>
          <w:r>
            <w:fldChar w:fldCharType="end"/>
          </w:r>
          <w:r>
            <w:fldChar w:fldCharType="end"/>
          </w:r>
        </w:p>
        <w:p w14:paraId="7A069EA5">
          <w:pPr>
            <w:pStyle w:val="10"/>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2"/>
              <w:rFonts w:ascii="仿宋" w:hAnsi="仿宋" w:eastAsia="仿宋" w:cs="仿宋"/>
            </w:rPr>
            <w:t>八、政府性基金预算财政拨款收入支出决算表</w:t>
          </w:r>
          <w:r>
            <w:tab/>
          </w:r>
          <w:r>
            <w:fldChar w:fldCharType="begin"/>
          </w:r>
          <w:r>
            <w:instrText xml:space="preserve"> PAGEREF _Toc256000145 \h </w:instrText>
          </w:r>
          <w:r>
            <w:fldChar w:fldCharType="separate"/>
          </w:r>
          <w:r>
            <w:t>22</w:t>
          </w:r>
          <w:r>
            <w:fldChar w:fldCharType="end"/>
          </w:r>
          <w:r>
            <w:fldChar w:fldCharType="end"/>
          </w:r>
        </w:p>
        <w:p w14:paraId="255EC486">
          <w:pPr>
            <w:pStyle w:val="10"/>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2"/>
              <w:rFonts w:ascii="仿宋" w:hAnsi="仿宋" w:eastAsia="仿宋" w:cs="仿宋"/>
            </w:rPr>
            <w:t>九、国有资本经营预算财政拨款支出决算表</w:t>
          </w:r>
          <w:r>
            <w:tab/>
          </w:r>
          <w:r>
            <w:fldChar w:fldCharType="begin"/>
          </w:r>
          <w:r>
            <w:instrText xml:space="preserve"> PAGEREF _Toc256000146 \h </w:instrText>
          </w:r>
          <w:r>
            <w:fldChar w:fldCharType="separate"/>
          </w:r>
          <w:r>
            <w:t>23</w:t>
          </w:r>
          <w:r>
            <w:fldChar w:fldCharType="end"/>
          </w:r>
          <w:r>
            <w:fldChar w:fldCharType="end"/>
          </w:r>
        </w:p>
        <w:p w14:paraId="06C81B73">
          <w:pPr>
            <w:pStyle w:val="17"/>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2"/>
              <w:rFonts w:ascii="仿宋" w:hAnsi="仿宋" w:eastAsia="仿宋" w:cs="仿宋"/>
            </w:rPr>
            <w:t>第三部分</w:t>
          </w:r>
          <w:r>
            <w:rPr>
              <w:rStyle w:val="22"/>
              <w:rFonts w:ascii="黑体" w:hAnsi="黑体" w:eastAsia="黑体" w:cs="黑体"/>
            </w:rPr>
            <w:t xml:space="preserve"> </w:t>
          </w:r>
          <w:r>
            <w:rPr>
              <w:rStyle w:val="22"/>
              <w:rFonts w:ascii="仿宋" w:hAnsi="仿宋" w:eastAsia="仿宋" w:cs="仿宋"/>
            </w:rPr>
            <w:t>2024年度单位决算情况说明</w:t>
          </w:r>
          <w:r>
            <w:tab/>
          </w:r>
          <w:r>
            <w:fldChar w:fldCharType="begin"/>
          </w:r>
          <w:r>
            <w:instrText xml:space="preserve"> PAGEREF _Toc256000147 \h </w:instrText>
          </w:r>
          <w:r>
            <w:fldChar w:fldCharType="separate"/>
          </w:r>
          <w:r>
            <w:t>24</w:t>
          </w:r>
          <w:r>
            <w:fldChar w:fldCharType="end"/>
          </w:r>
          <w:r>
            <w:fldChar w:fldCharType="end"/>
          </w:r>
        </w:p>
        <w:p w14:paraId="303BC619">
          <w:pPr>
            <w:pStyle w:val="10"/>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2"/>
              <w:rFonts w:ascii="仿宋" w:hAnsi="仿宋" w:eastAsia="仿宋" w:cs="仿宋"/>
            </w:rPr>
            <w:t>一、收入支出决算总体情况说明</w:t>
          </w:r>
          <w:r>
            <w:tab/>
          </w:r>
          <w:r>
            <w:fldChar w:fldCharType="begin"/>
          </w:r>
          <w:r>
            <w:instrText xml:space="preserve"> PAGEREF _Toc256000148 \h </w:instrText>
          </w:r>
          <w:r>
            <w:fldChar w:fldCharType="separate"/>
          </w:r>
          <w:r>
            <w:t>25</w:t>
          </w:r>
          <w:r>
            <w:fldChar w:fldCharType="end"/>
          </w:r>
          <w:r>
            <w:fldChar w:fldCharType="end"/>
          </w:r>
        </w:p>
        <w:p w14:paraId="7588A5FE">
          <w:pPr>
            <w:pStyle w:val="10"/>
            <w:tabs>
              <w:tab w:val="right" w:leader="dot" w:pos="9730"/>
            </w:tabs>
            <w:rPr>
              <w:rFonts w:asciiTheme="minorHAnsi" w:hAnsiTheme="minorHAnsi"/>
              <w:sz w:val="22"/>
            </w:rPr>
          </w:pPr>
          <w:r>
            <w:fldChar w:fldCharType="begin"/>
          </w:r>
          <w:r>
            <w:instrText xml:space="preserve"> HYPERLINK \l "_Toc256000149" </w:instrText>
          </w:r>
          <w:r>
            <w:fldChar w:fldCharType="separate"/>
          </w:r>
          <w:r>
            <w:rPr>
              <w:rStyle w:val="22"/>
              <w:rFonts w:ascii="仿宋" w:hAnsi="仿宋" w:eastAsia="仿宋" w:cs="仿宋"/>
            </w:rPr>
            <w:t>二、财政拨款收入支出决算总体情况说明</w:t>
          </w:r>
          <w:r>
            <w:tab/>
          </w:r>
          <w:r>
            <w:fldChar w:fldCharType="begin"/>
          </w:r>
          <w:r>
            <w:instrText xml:space="preserve"> PAGEREF _Toc256000149 \h </w:instrText>
          </w:r>
          <w:r>
            <w:fldChar w:fldCharType="separate"/>
          </w:r>
          <w:r>
            <w:t>26</w:t>
          </w:r>
          <w:r>
            <w:fldChar w:fldCharType="end"/>
          </w:r>
          <w:r>
            <w:fldChar w:fldCharType="end"/>
          </w:r>
        </w:p>
        <w:p w14:paraId="0FD1AE27">
          <w:pPr>
            <w:pStyle w:val="10"/>
            <w:tabs>
              <w:tab w:val="right" w:leader="dot" w:pos="9730"/>
            </w:tabs>
            <w:rPr>
              <w:rFonts w:asciiTheme="minorHAnsi" w:hAnsiTheme="minorHAnsi"/>
              <w:sz w:val="22"/>
            </w:rPr>
          </w:pPr>
          <w:r>
            <w:fldChar w:fldCharType="begin"/>
          </w:r>
          <w:r>
            <w:instrText xml:space="preserve"> HYPERLINK \l "_Toc256000150" </w:instrText>
          </w:r>
          <w:r>
            <w:fldChar w:fldCharType="separate"/>
          </w:r>
          <w:r>
            <w:rPr>
              <w:rStyle w:val="22"/>
              <w:rFonts w:ascii="仿宋" w:hAnsi="仿宋" w:eastAsia="仿宋" w:cs="仿宋"/>
            </w:rPr>
            <w:t>三、一般公共预算财政拨款支出决算情况说明</w:t>
          </w:r>
          <w:r>
            <w:tab/>
          </w:r>
          <w:r>
            <w:fldChar w:fldCharType="begin"/>
          </w:r>
          <w:r>
            <w:instrText xml:space="preserve"> PAGEREF _Toc256000150 \h </w:instrText>
          </w:r>
          <w:r>
            <w:fldChar w:fldCharType="separate"/>
          </w:r>
          <w:r>
            <w:t>26</w:t>
          </w:r>
          <w:r>
            <w:fldChar w:fldCharType="end"/>
          </w:r>
          <w:r>
            <w:fldChar w:fldCharType="end"/>
          </w:r>
        </w:p>
        <w:p w14:paraId="2A2CEA14">
          <w:pPr>
            <w:pStyle w:val="10"/>
            <w:tabs>
              <w:tab w:val="right" w:leader="dot" w:pos="9730"/>
            </w:tabs>
            <w:rPr>
              <w:rFonts w:asciiTheme="minorHAnsi" w:hAnsiTheme="minorHAnsi"/>
              <w:sz w:val="22"/>
            </w:rPr>
          </w:pPr>
          <w:r>
            <w:fldChar w:fldCharType="begin"/>
          </w:r>
          <w:r>
            <w:instrText xml:space="preserve"> HYPERLINK \l "_Toc256000151" </w:instrText>
          </w:r>
          <w:r>
            <w:fldChar w:fldCharType="separate"/>
          </w:r>
          <w:r>
            <w:rPr>
              <w:rStyle w:val="22"/>
              <w:rFonts w:ascii="仿宋" w:hAnsi="仿宋" w:eastAsia="仿宋" w:cs="仿宋"/>
            </w:rPr>
            <w:t>四、政府性基金预算财政拨款支出决算情况说明</w:t>
          </w:r>
          <w:r>
            <w:tab/>
          </w:r>
          <w:r>
            <w:fldChar w:fldCharType="begin"/>
          </w:r>
          <w:r>
            <w:instrText xml:space="preserve"> PAGEREF _Toc256000151 \h </w:instrText>
          </w:r>
          <w:r>
            <w:fldChar w:fldCharType="separate"/>
          </w:r>
          <w:r>
            <w:t>27</w:t>
          </w:r>
          <w:r>
            <w:fldChar w:fldCharType="end"/>
          </w:r>
          <w:r>
            <w:fldChar w:fldCharType="end"/>
          </w:r>
        </w:p>
        <w:p w14:paraId="5A48BEB2">
          <w:pPr>
            <w:pStyle w:val="10"/>
            <w:tabs>
              <w:tab w:val="right" w:leader="dot" w:pos="9730"/>
            </w:tabs>
            <w:rPr>
              <w:rFonts w:asciiTheme="minorHAnsi" w:hAnsiTheme="minorHAnsi"/>
              <w:sz w:val="22"/>
            </w:rPr>
          </w:pPr>
          <w:r>
            <w:fldChar w:fldCharType="begin"/>
          </w:r>
          <w:r>
            <w:instrText xml:space="preserve"> HYPERLINK \l "_Toc256000152" </w:instrText>
          </w:r>
          <w:r>
            <w:fldChar w:fldCharType="separate"/>
          </w:r>
          <w:r>
            <w:rPr>
              <w:rStyle w:val="22"/>
              <w:rFonts w:ascii="仿宋" w:hAnsi="仿宋" w:eastAsia="仿宋" w:cs="仿宋"/>
            </w:rPr>
            <w:t>五、国有资本经营预算财政拨款支出决算情况说明</w:t>
          </w:r>
          <w:r>
            <w:tab/>
          </w:r>
          <w:r>
            <w:fldChar w:fldCharType="begin"/>
          </w:r>
          <w:r>
            <w:instrText xml:space="preserve"> PAGEREF _Toc256000152 \h </w:instrText>
          </w:r>
          <w:r>
            <w:fldChar w:fldCharType="separate"/>
          </w:r>
          <w:r>
            <w:t>27</w:t>
          </w:r>
          <w:r>
            <w:fldChar w:fldCharType="end"/>
          </w:r>
          <w:r>
            <w:fldChar w:fldCharType="end"/>
          </w:r>
        </w:p>
        <w:p w14:paraId="4810A41B">
          <w:pPr>
            <w:pStyle w:val="10"/>
            <w:tabs>
              <w:tab w:val="right" w:leader="dot" w:pos="9730"/>
            </w:tabs>
            <w:rPr>
              <w:rFonts w:asciiTheme="minorHAnsi" w:hAnsiTheme="minorHAnsi"/>
              <w:sz w:val="22"/>
            </w:rPr>
          </w:pPr>
          <w:r>
            <w:fldChar w:fldCharType="begin"/>
          </w:r>
          <w:r>
            <w:instrText xml:space="preserve"> HYPERLINK \l "_Toc256000153" </w:instrText>
          </w:r>
          <w:r>
            <w:fldChar w:fldCharType="separate"/>
          </w:r>
          <w:r>
            <w:rPr>
              <w:rStyle w:val="22"/>
              <w:rFonts w:ascii="仿宋" w:hAnsi="仿宋" w:eastAsia="仿宋" w:cs="仿宋"/>
            </w:rPr>
            <w:t>六、一般公共预算财政拨款基本支出决算情况说明</w:t>
          </w:r>
          <w:r>
            <w:tab/>
          </w:r>
          <w:r>
            <w:fldChar w:fldCharType="begin"/>
          </w:r>
          <w:r>
            <w:instrText xml:space="preserve"> PAGEREF _Toc256000153 \h </w:instrText>
          </w:r>
          <w:r>
            <w:fldChar w:fldCharType="separate"/>
          </w:r>
          <w:r>
            <w:t>27</w:t>
          </w:r>
          <w:r>
            <w:fldChar w:fldCharType="end"/>
          </w:r>
          <w:r>
            <w:fldChar w:fldCharType="end"/>
          </w:r>
        </w:p>
        <w:p w14:paraId="07B427A1">
          <w:pPr>
            <w:pStyle w:val="10"/>
            <w:tabs>
              <w:tab w:val="right" w:leader="dot" w:pos="9730"/>
            </w:tabs>
            <w:rPr>
              <w:rFonts w:asciiTheme="minorHAnsi" w:hAnsiTheme="minorHAnsi"/>
              <w:sz w:val="22"/>
            </w:rPr>
          </w:pPr>
          <w:r>
            <w:fldChar w:fldCharType="begin"/>
          </w:r>
          <w:r>
            <w:instrText xml:space="preserve"> HYPERLINK \l "_Toc256000154" </w:instrText>
          </w:r>
          <w:r>
            <w:fldChar w:fldCharType="separate"/>
          </w:r>
          <w:r>
            <w:rPr>
              <w:rStyle w:val="22"/>
              <w:rFonts w:ascii="仿宋" w:hAnsi="仿宋" w:eastAsia="仿宋" w:cs="仿宋"/>
            </w:rPr>
            <w:t>七、一般公共预算拨款“三公”经费支出决算情况说明</w:t>
          </w:r>
          <w:r>
            <w:tab/>
          </w:r>
          <w:r>
            <w:fldChar w:fldCharType="begin"/>
          </w:r>
          <w:r>
            <w:instrText xml:space="preserve"> PAGEREF _Toc256000154 \h </w:instrText>
          </w:r>
          <w:r>
            <w:fldChar w:fldCharType="separate"/>
          </w:r>
          <w:r>
            <w:t>27</w:t>
          </w:r>
          <w:r>
            <w:fldChar w:fldCharType="end"/>
          </w:r>
          <w:r>
            <w:fldChar w:fldCharType="end"/>
          </w:r>
        </w:p>
        <w:p w14:paraId="6378B5C4">
          <w:pPr>
            <w:pStyle w:val="10"/>
            <w:tabs>
              <w:tab w:val="right" w:leader="dot" w:pos="9730"/>
            </w:tabs>
            <w:rPr>
              <w:rFonts w:asciiTheme="minorHAnsi" w:hAnsiTheme="minorHAnsi"/>
              <w:sz w:val="22"/>
            </w:rPr>
          </w:pPr>
          <w:r>
            <w:fldChar w:fldCharType="begin"/>
          </w:r>
          <w:r>
            <w:instrText xml:space="preserve"> HYPERLINK \l "_Toc256000155" </w:instrText>
          </w:r>
          <w:r>
            <w:fldChar w:fldCharType="separate"/>
          </w:r>
          <w:r>
            <w:rPr>
              <w:rStyle w:val="22"/>
              <w:rFonts w:ascii="仿宋" w:hAnsi="仿宋" w:eastAsia="仿宋" w:cs="仿宋"/>
            </w:rPr>
            <w:t>八、预算绩效情况说明</w:t>
          </w:r>
          <w:r>
            <w:tab/>
          </w:r>
          <w:r>
            <w:fldChar w:fldCharType="begin"/>
          </w:r>
          <w:r>
            <w:instrText xml:space="preserve"> PAGEREF _Toc256000155 \h </w:instrText>
          </w:r>
          <w:r>
            <w:fldChar w:fldCharType="separate"/>
          </w:r>
          <w:r>
            <w:t>28</w:t>
          </w:r>
          <w:r>
            <w:fldChar w:fldCharType="end"/>
          </w:r>
          <w:r>
            <w:fldChar w:fldCharType="end"/>
          </w:r>
        </w:p>
        <w:p w14:paraId="14177436">
          <w:pPr>
            <w:pStyle w:val="10"/>
            <w:tabs>
              <w:tab w:val="right" w:leader="dot" w:pos="9730"/>
            </w:tabs>
            <w:rPr>
              <w:rFonts w:asciiTheme="minorHAnsi" w:hAnsiTheme="minorHAnsi"/>
              <w:sz w:val="22"/>
            </w:rPr>
          </w:pPr>
          <w:r>
            <w:fldChar w:fldCharType="begin"/>
          </w:r>
          <w:r>
            <w:instrText xml:space="preserve"> HYPERLINK \l "_Toc256000156" </w:instrText>
          </w:r>
          <w:r>
            <w:fldChar w:fldCharType="separate"/>
          </w:r>
          <w:r>
            <w:rPr>
              <w:rStyle w:val="22"/>
              <w:rFonts w:ascii="仿宋" w:hAnsi="仿宋" w:eastAsia="仿宋" w:cs="仿宋"/>
            </w:rPr>
            <w:t>九、其他重要事项说明</w:t>
          </w:r>
          <w:r>
            <w:tab/>
          </w:r>
          <w:r>
            <w:fldChar w:fldCharType="begin"/>
          </w:r>
          <w:r>
            <w:instrText xml:space="preserve"> PAGEREF _Toc256000156 \h </w:instrText>
          </w:r>
          <w:r>
            <w:fldChar w:fldCharType="separate"/>
          </w:r>
          <w:r>
            <w:t>29</w:t>
          </w:r>
          <w:r>
            <w:fldChar w:fldCharType="end"/>
          </w:r>
          <w:r>
            <w:fldChar w:fldCharType="end"/>
          </w:r>
        </w:p>
        <w:p w14:paraId="5DA507E8">
          <w:pPr>
            <w:pStyle w:val="17"/>
            <w:tabs>
              <w:tab w:val="right" w:leader="dot" w:pos="9730"/>
            </w:tabs>
            <w:rPr>
              <w:rFonts w:asciiTheme="minorHAnsi" w:hAnsiTheme="minorHAnsi"/>
              <w:sz w:val="22"/>
            </w:rPr>
          </w:pPr>
          <w:r>
            <w:fldChar w:fldCharType="begin"/>
          </w:r>
          <w:r>
            <w:instrText xml:space="preserve"> HYPERLINK \l "_Toc256000157" </w:instrText>
          </w:r>
          <w:r>
            <w:fldChar w:fldCharType="separate"/>
          </w:r>
          <w:r>
            <w:rPr>
              <w:rStyle w:val="22"/>
              <w:rFonts w:ascii="仿宋" w:hAnsi="仿宋" w:eastAsia="仿宋" w:cs="仿宋"/>
            </w:rPr>
            <w:t>第四部分</w:t>
          </w:r>
          <w:r>
            <w:rPr>
              <w:rStyle w:val="22"/>
              <w:rFonts w:ascii="黑体" w:hAnsi="黑体" w:eastAsia="黑体" w:cs="黑体"/>
            </w:rPr>
            <w:t xml:space="preserve"> </w:t>
          </w:r>
          <w:r>
            <w:rPr>
              <w:rStyle w:val="22"/>
              <w:rFonts w:ascii="仿宋" w:hAnsi="仿宋" w:eastAsia="仿宋" w:cs="仿宋"/>
            </w:rPr>
            <w:t>名词解释</w:t>
          </w:r>
          <w:r>
            <w:tab/>
          </w:r>
          <w:r>
            <w:fldChar w:fldCharType="begin"/>
          </w:r>
          <w:r>
            <w:instrText xml:space="preserve"> PAGEREF _Toc256000157 \h </w:instrText>
          </w:r>
          <w:r>
            <w:fldChar w:fldCharType="separate"/>
          </w:r>
          <w:r>
            <w:t>30</w:t>
          </w:r>
          <w:r>
            <w:fldChar w:fldCharType="end"/>
          </w:r>
          <w:r>
            <w:fldChar w:fldCharType="end"/>
          </w:r>
        </w:p>
        <w:p w14:paraId="527390EE">
          <w:pPr>
            <w:pStyle w:val="17"/>
            <w:tabs>
              <w:tab w:val="right" w:leader="dot" w:pos="9730"/>
            </w:tabs>
            <w:rPr>
              <w:rFonts w:asciiTheme="minorHAnsi" w:hAnsiTheme="minorHAnsi"/>
              <w:sz w:val="22"/>
            </w:rPr>
          </w:pPr>
          <w:r>
            <w:fldChar w:fldCharType="begin"/>
          </w:r>
          <w:r>
            <w:instrText xml:space="preserve"> HYPERLINK \l "_Toc256000158" </w:instrText>
          </w:r>
          <w:r>
            <w:fldChar w:fldCharType="separate"/>
          </w:r>
          <w:r>
            <w:rPr>
              <w:rStyle w:val="22"/>
              <w:rFonts w:ascii="仿宋" w:hAnsi="仿宋" w:eastAsia="仿宋" w:cs="仿宋"/>
            </w:rPr>
            <w:t>第五部分</w:t>
          </w:r>
          <w:r>
            <w:rPr>
              <w:rStyle w:val="22"/>
              <w:rFonts w:ascii="黑体" w:hAnsi="黑体" w:eastAsia="黑体" w:cs="黑体"/>
            </w:rPr>
            <w:t xml:space="preserve"> </w:t>
          </w:r>
          <w:r>
            <w:rPr>
              <w:rStyle w:val="22"/>
              <w:rFonts w:ascii="仿宋" w:hAnsi="仿宋" w:eastAsia="仿宋" w:cs="仿宋"/>
            </w:rPr>
            <w:t>附件</w:t>
          </w:r>
          <w:r>
            <w:tab/>
          </w:r>
          <w:r>
            <w:fldChar w:fldCharType="begin"/>
          </w:r>
          <w:r>
            <w:instrText xml:space="preserve"> PAGEREF _Toc256000158 \h </w:instrText>
          </w:r>
          <w:r>
            <w:fldChar w:fldCharType="separate"/>
          </w:r>
          <w:r>
            <w:t>33</w:t>
          </w:r>
          <w:r>
            <w:fldChar w:fldCharType="end"/>
          </w:r>
          <w:r>
            <w:fldChar w:fldCharType="end"/>
          </w:r>
        </w:p>
        <w:p w14:paraId="2D9698EC">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14:paraId="70202DA5">
      <w:pPr>
        <w:widowControl/>
        <w:spacing w:after="240"/>
        <w:jc w:val="left"/>
        <w:rPr>
          <w:rFonts w:ascii="Times New Roman" w:hAnsi="Times New Roman" w:eastAsia="Times New Roman" w:cs="Times New Roman"/>
          <w:kern w:val="0"/>
          <w:sz w:val="24"/>
        </w:rPr>
      </w:pPr>
      <w:bookmarkStart w:id="0" w:name="a000"/>
    </w:p>
    <w:p w14:paraId="290968EF">
      <w:pPr>
        <w:widowControl/>
        <w:spacing w:before="240" w:after="240"/>
        <w:jc w:val="left"/>
        <w:rPr>
          <w:rFonts w:ascii="Times New Roman" w:hAnsi="Times New Roman" w:eastAsia="Times New Roman" w:cs="Times New Roman"/>
          <w:kern w:val="0"/>
          <w:sz w:val="24"/>
        </w:rPr>
      </w:pPr>
    </w:p>
    <w:p w14:paraId="7EE52786">
      <w:pPr>
        <w:widowControl/>
        <w:spacing w:before="240" w:after="240"/>
        <w:jc w:val="left"/>
        <w:rPr>
          <w:rFonts w:ascii="Times New Roman" w:hAnsi="Times New Roman" w:eastAsia="Times New Roman" w:cs="Times New Roman"/>
          <w:kern w:val="0"/>
          <w:sz w:val="24"/>
        </w:rPr>
      </w:pPr>
    </w:p>
    <w:p w14:paraId="6C1891F2">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000"/>
      <w:bookmarkStart w:id="2" w:name="_Toc256000132"/>
      <w:bookmarkStart w:id="3" w:name="_Toc256000054"/>
      <w:bookmarkStart w:id="4" w:name="_Toc256000027"/>
      <w:bookmarkStart w:id="5" w:name="_Toc256000105"/>
      <w:bookmarkStart w:id="6" w:name="_Toc256000011"/>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单位概况</w:t>
      </w:r>
      <w:bookmarkEnd w:id="1"/>
      <w:bookmarkEnd w:id="2"/>
      <w:bookmarkEnd w:id="3"/>
      <w:bookmarkEnd w:id="4"/>
      <w:bookmarkEnd w:id="5"/>
      <w:bookmarkEnd w:id="6"/>
    </w:p>
    <w:p w14:paraId="0F4A4EB7">
      <w:pPr>
        <w:sectPr>
          <w:footerReference r:id="rId5" w:type="default"/>
          <w:pgSz w:w="11906" w:h="16838"/>
          <w:pgMar w:top="1440" w:right="720" w:bottom="1440" w:left="720" w:header="720" w:footer="720" w:gutter="0"/>
          <w:pgNumType w:start="1"/>
          <w:cols w:space="720" w:num="1"/>
        </w:sectPr>
      </w:pPr>
    </w:p>
    <w:p w14:paraId="229EE5DC">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0AF1AE9">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055"/>
      <w:bookmarkStart w:id="8" w:name="_Toc256000106"/>
      <w:bookmarkStart w:id="9" w:name="_Toc256000038"/>
      <w:bookmarkStart w:id="10" w:name="_Toc256000001"/>
      <w:bookmarkStart w:id="11" w:name="_Toc256000028"/>
      <w:bookmarkStart w:id="12" w:name="_Toc256000133"/>
      <w:r>
        <w:rPr>
          <w:rFonts w:ascii="黑体" w:hAnsi="黑体" w:eastAsia="黑体" w:cs="黑体"/>
          <w:b w:val="0"/>
          <w:bCs w:val="0"/>
          <w:spacing w:val="0"/>
        </w:rPr>
        <w:t>一、单位主要职责</w:t>
      </w:r>
      <w:bookmarkEnd w:id="7"/>
      <w:bookmarkEnd w:id="8"/>
      <w:bookmarkEnd w:id="9"/>
      <w:bookmarkEnd w:id="10"/>
      <w:bookmarkEnd w:id="11"/>
      <w:bookmarkEnd w:id="12"/>
    </w:p>
    <w:p w14:paraId="0BA5E0AF">
      <w:pPr>
        <w:pStyle w:val="29"/>
        <w:widowControl/>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莆田市荔城区镇海街道综合便民服务中心单位的主要职责是：</w:t>
      </w:r>
    </w:p>
    <w:p w14:paraId="47811309">
      <w:pPr>
        <w:pStyle w:val="29"/>
        <w:widowControl/>
        <w:numPr>
          <w:ilvl w:val="0"/>
          <w:numId w:val="1"/>
        </w:numPr>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贯彻执行党和国家的路线方针、政策以及市、区关于街道工作方面的指示，制订具体的管理办法并组织实施。</w:t>
      </w:r>
    </w:p>
    <w:p w14:paraId="3360B7CE">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指导、搞好辖区内居委会的工作，支持、帮助居民委员会加强思想、组织、制度建设，向上级人民政府和有关部门及时反映居民的意见、建议和要求。</w:t>
      </w:r>
    </w:p>
    <w:p w14:paraId="43315661">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抓好社区文化建设，开展文明街道、文明单位，文明小区建设活动，组织居民开展经常性的文化、娱乐、体育活动。</w:t>
      </w:r>
    </w:p>
    <w:p w14:paraId="21D0B8B0">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负责街道的人民调解、治安保卫工作，加强对违法青少年的帮教转化，保护老人、妇女、儿童的合法权益。</w:t>
      </w:r>
    </w:p>
    <w:p w14:paraId="2C649DA9">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协助有关部门做好辖区拥军优属、优抚安置、社会救济、殡葬改革、残疾人就业等工作；积极开展便民利民的社区服务和社区教育工作。</w:t>
      </w:r>
    </w:p>
    <w:p w14:paraId="6F5FFAA5">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会同有关部门做好辖区内常住和流动人口的管理。</w:t>
      </w:r>
    </w:p>
    <w:p w14:paraId="699995F2">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协助武装部门做好辖区民兵训练和公民服兵役工作。</w:t>
      </w:r>
    </w:p>
    <w:p w14:paraId="4FC71397">
      <w:pPr>
        <w:pStyle w:val="29"/>
        <w:widowControl/>
        <w:numPr>
          <w:ilvl w:val="0"/>
          <w:numId w:val="1"/>
        </w:numPr>
        <w:spacing w:before="100" w:after="100" w:line="560" w:lineRule="atLeast"/>
        <w:ind w:left="100" w:leftChars="0" w:right="100" w:rightChars="0" w:firstLine="640" w:firstLineChars="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负责在辖区开展普法教育工作，做好民事调解，开展法律咨询、服务等工作，维护居民的合法权益，搞好辖区内社会管理综合治理工作。</w:t>
      </w:r>
    </w:p>
    <w:p w14:paraId="45F44064">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hint="eastAsia" w:ascii="仿宋_GB2312" w:hAnsi="仿宋_GB2312" w:eastAsia="仿宋_GB2312" w:cs="仿宋_GB2312"/>
          <w:spacing w:val="0"/>
          <w:kern w:val="0"/>
          <w:sz w:val="32"/>
          <w:szCs w:val="32"/>
          <w:lang w:val="en-US" w:eastAsia="zh-CN"/>
        </w:rPr>
        <w:t>（九）</w:t>
      </w:r>
      <w:r>
        <w:rPr>
          <w:rFonts w:ascii="仿宋_GB2312" w:hAnsi="仿宋_GB2312" w:eastAsia="仿宋_GB2312" w:cs="仿宋_GB2312"/>
          <w:spacing w:val="0"/>
          <w:kern w:val="0"/>
          <w:sz w:val="32"/>
          <w:szCs w:val="32"/>
        </w:rPr>
        <w:t>负责本辖区的城市管理工作，发动群众开展爱国卫生运动，绿化、美化、净化城市环境，协助有关部门做好环境卫生、环境保护工作。</w:t>
      </w:r>
    </w:p>
    <w:p w14:paraId="23FE196B">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065"/>
      <w:bookmarkStart w:id="14" w:name="_Toc256000002"/>
      <w:bookmarkStart w:id="15" w:name="_Toc256000107"/>
      <w:bookmarkStart w:id="16" w:name="_Toc256000056"/>
      <w:bookmarkStart w:id="17" w:name="_Toc256000029"/>
      <w:bookmarkStart w:id="18" w:name="_Toc256000134"/>
      <w:r>
        <w:rPr>
          <w:rFonts w:ascii="黑体" w:hAnsi="黑体" w:eastAsia="黑体" w:cs="黑体"/>
          <w:b w:val="0"/>
          <w:bCs w:val="0"/>
          <w:spacing w:val="0"/>
        </w:rPr>
        <w:t>二、单位基本情况</w:t>
      </w:r>
      <w:bookmarkEnd w:id="13"/>
      <w:bookmarkEnd w:id="14"/>
      <w:bookmarkEnd w:id="15"/>
      <w:bookmarkEnd w:id="16"/>
      <w:bookmarkEnd w:id="17"/>
      <w:bookmarkEnd w:id="18"/>
    </w:p>
    <w:p w14:paraId="5D397022">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从决算单位构成看，本单位包括1个内设机构，其中：列入2024年决算编制范围的单位详细情况见下表:</w:t>
      </w:r>
    </w:p>
    <w:tbl>
      <w:tblPr>
        <w:tblStyle w:val="19"/>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14:paraId="3377EB8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14:paraId="73D50B70">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95F29CC">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14:paraId="171FB80F">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14:paraId="34E9465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570" w:type="dxa"/>
            <w:tcBorders>
              <w:top w:val="inset" w:color="808080" w:sz="6" w:space="0"/>
              <w:right w:val="inset" w:color="808080" w:sz="6" w:space="0"/>
            </w:tcBorders>
            <w:noWrap w:val="0"/>
            <w:tcMar>
              <w:top w:w="22" w:type="dxa"/>
              <w:left w:w="22" w:type="dxa"/>
              <w:bottom w:w="22" w:type="dxa"/>
              <w:right w:w="22" w:type="dxa"/>
            </w:tcMar>
            <w:vAlign w:val="center"/>
          </w:tcPr>
          <w:p w14:paraId="16E8636A">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莆田市荔城区镇海街道综合便民服务中心</w:t>
            </w:r>
          </w:p>
        </w:tc>
        <w:tc>
          <w:tcPr>
            <w:tcW w:w="3006"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27E6033E">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公益一类事业单位</w:t>
            </w:r>
          </w:p>
        </w:tc>
        <w:tc>
          <w:tcPr>
            <w:tcW w:w="2004" w:type="dxa"/>
            <w:tcBorders>
              <w:top w:val="inset" w:color="808080" w:sz="6" w:space="0"/>
              <w:left w:val="inset" w:color="808080" w:sz="6" w:space="0"/>
            </w:tcBorders>
            <w:noWrap w:val="0"/>
            <w:tcMar>
              <w:top w:w="22" w:type="dxa"/>
              <w:left w:w="22" w:type="dxa"/>
              <w:bottom w:w="22" w:type="dxa"/>
              <w:right w:w="22" w:type="dxa"/>
            </w:tcMar>
            <w:vAlign w:val="center"/>
          </w:tcPr>
          <w:p w14:paraId="5AA7ADDF">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15</w:t>
            </w:r>
          </w:p>
        </w:tc>
      </w:tr>
    </w:tbl>
    <w:p w14:paraId="2D2F96CF">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30"/>
      <w:bookmarkStart w:id="20" w:name="_Toc256000135"/>
      <w:bookmarkStart w:id="21" w:name="_Toc256000081"/>
      <w:bookmarkStart w:id="22" w:name="_Toc256000108"/>
      <w:bookmarkStart w:id="23" w:name="_Toc256000003"/>
      <w:bookmarkStart w:id="24" w:name="_Toc256000057"/>
      <w:r>
        <w:rPr>
          <w:rFonts w:ascii="黑体" w:hAnsi="黑体" w:eastAsia="黑体" w:cs="黑体"/>
          <w:b w:val="0"/>
          <w:bCs w:val="0"/>
          <w:spacing w:val="0"/>
        </w:rPr>
        <w:t>三、单位主要工作总结</w:t>
      </w:r>
      <w:bookmarkEnd w:id="19"/>
      <w:bookmarkEnd w:id="20"/>
      <w:bookmarkEnd w:id="21"/>
      <w:bookmarkEnd w:id="22"/>
      <w:bookmarkEnd w:id="23"/>
      <w:bookmarkEnd w:id="24"/>
    </w:p>
    <w:p w14:paraId="03020744">
      <w:pPr>
        <w:pStyle w:val="29"/>
        <w:widowControl/>
        <w:spacing w:before="100" w:after="100" w:line="560" w:lineRule="atLeast"/>
        <w:ind w:right="100" w:firstLine="640" w:firstLineChars="20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莆田市荔城区镇海街道综合便民服务中心单位主要任务是：2024年是中华人民共和国成立75周年，是实现“十四五”规划目标任务的关键一年。一年来，我们坚持以习近平新时代中国特色社会主义思想为指导，坚决贯彻习近平总书记重要指示批示精神，在区委、区政府的坚强领导下，全面落实“深学争优、敢为争先、实干争效”行动，凝心聚力、苦干实干，各项事业取得了新的进展。2024年，实现财政总收入6.00亿元、下降1.8%；固定资产投资11.28亿元、下降12.96%；规上工业产值3.59亿元、增长25.64%；限上贸易额86.27亿元、增长27.66%。围绕上述任务，重点完成了以下工作：</w:t>
      </w:r>
    </w:p>
    <w:p w14:paraId="2F2FD69E">
      <w:pPr>
        <w:pStyle w:val="29"/>
        <w:widowControl/>
        <w:spacing w:before="100" w:after="100" w:line="560" w:lineRule="atLeast"/>
        <w:ind w:right="100" w:firstLine="640" w:firstLineChars="20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坚持稳中求进，持续筑牢领先领跑基础。聚力招商引资，用好用活“一把手”招商、产业链招商、以商招商等机制。招商对接泰盛再生资源体系建设项目、馨纪源中心、易方达商业中心等3个项目，全流程跟踪对接项目需求，高效推进项目落地转化。积极策划招商空间，着力盘活七星汇、三骏、铂景等闲置楼宇资源2.5万平方米，作为新一轮招商企业入驻地。街道两委成员累计走访服务规上工业企业和重点商贸企业130家，推动惠企政策直达企业，精准对接服务企业需求。新增“下转上”企业21家。</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项目引领，持续改善城乡环境面貌。城区建设有序推进。精心谋划实施城建项目，持续提升城市功能品质。抓好项目前期保障，获批用地7宗6.0049公顷。301电台项目已通过总体验收。加速推进玉湖城镇旧住宅改造(新溪A、阔口)项目等安置房项目建设。城南市场片区征迁改造已完成前期情况摸底工作。同步启动玉湖新城古山片区安置房D区、玉湖路网三、玉湖运动场周边绿化带、玉湖新城古山民俗文化展示馆等项目前期手续。宜居水平持续提升。深入实施老旧片区改造提升，西社小区、证券小区等8个老旧小区完成竣工验收，2024年老旧片区改造项目开工建设。零容忍打击“两违”，加大力度处置拆除“两违”，有效处置38栋重大安全隐患房屋，排查经营性自建房412栋。全力推进“双创”工作，清理生活垃圾2.21万吨、清理病媒孳生地7869处、清理“十乱”709处，新建8座垃圾分类屋（亭）。生态环境不断改善。全力配合开展第三轮中央生态环境保护督察工作，辖区内共有环保中督件14件，主办3件环保督察件已全部整改验收，协办11件已整改到位。巩固大气治理成果，开展餐饮油烟污染专项整治行动，解决餐饮行业油烟排放问题，维护良好生态环境。严格落实河长制工作要求，三级河长携手共治，阔口渠、埭尾沟、步云沟河道综合整治工程扎实推进，阔口渠橡皮坝水质类别稳定维持在Ⅲ—Ⅳ类，埭尾沟自测水质达标，步云沟生态明显提升。</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坚持以人为本，持续增强和谐社会凝聚力。社会保障兜牢兜实。统筹做好社会救助、妇女儿童权益保障和扶残助残等工作，强化困难群体和低收入家庭精准帮扶。</w:t>
      </w:r>
      <w:r>
        <w:rPr>
          <w:rFonts w:hint="eastAsia" w:ascii="仿宋_GB2312" w:hAnsi="仿宋_GB2312" w:eastAsia="仿宋_GB2312" w:cs="仿宋_GB2312"/>
          <w:kern w:val="0"/>
          <w:sz w:val="32"/>
          <w:szCs w:val="32"/>
          <w:lang w:val="en-US" w:eastAsia="zh-CN"/>
        </w:rPr>
        <w:t>保障城乡低保对象 99户148人、低边人员11 户 27人、城乡特困人员 19户 19人，实施临时救助139 人次，发放救助金 24.2345万元。</w:t>
      </w:r>
      <w:r>
        <w:rPr>
          <w:rFonts w:ascii="仿宋_GB2312" w:hAnsi="仿宋_GB2312" w:eastAsia="仿宋_GB2312" w:cs="仿宋_GB2312"/>
          <w:spacing w:val="0"/>
          <w:kern w:val="0"/>
          <w:sz w:val="32"/>
          <w:szCs w:val="32"/>
        </w:rPr>
        <w:t>关爱特殊群体，与11个村（社区）签署控辍保学责任书，8名残疾儿童得到义务教育安置。文化事业稳步发展。以街道新时代文明实践所（站）、综合文化站、书院为阵地，充分运用“我们的节日”和重要时间节点开展理论宣讲、科普宣讲、市民教育等文明实践活动。2024年6月，镇海街道综合文化站获评福建省特级综合文化站。兴化府历史文化街区保护提升项目入选住建部“历史文化街区保护利用可复制经验做法清单”、获评省活力“街艺”示范区。大力宣传红色精神、红色文化，哲理钟楼今年以来共接待参观者1800余人次，被中国老区建设促进会、福建省老区建设促进会授予“老区精神教育基地”。公共服务提质增效。积极推进基本养老服务体系建设，共建有长者食堂3处。成立荔城区教育发展促进会镇海街道办事处，表扬66名优秀教师、优秀班主任、优秀教育工作者，营造教育发展良好环境。检查校外培训机构33次，全面助力“双减”政策落实到位。优化提升公共体育设施，新建健身器材8处，打造“10分钟健身圈”。</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坚持安全发展，持续提升基层治理水平。全力以赴抓好安全生产。</w:t>
      </w:r>
      <w:r>
        <w:rPr>
          <w:rFonts w:hint="eastAsia" w:ascii="仿宋_GB2312" w:hAnsi="仿宋_GB2312" w:eastAsia="仿宋_GB2312" w:cs="仿宋_GB2312"/>
          <w:b w:val="0"/>
          <w:bCs w:val="0"/>
          <w:kern w:val="2"/>
          <w:sz w:val="32"/>
          <w:szCs w:val="32"/>
          <w:lang w:val="en-US" w:eastAsia="zh-CN" w:bidi="ar-SA"/>
        </w:rPr>
        <w:t>深入推进安全生产治本攻坚三年行动、电动自行车安全隐患全链条整治，严格落实安全生产责任，</w:t>
      </w:r>
      <w:r>
        <w:rPr>
          <w:rFonts w:hint="eastAsia" w:ascii="仿宋_GB2312" w:hAnsi="仿宋_GB2312" w:eastAsia="仿宋_GB2312" w:cs="仿宋_GB2312"/>
          <w:kern w:val="2"/>
          <w:sz w:val="32"/>
          <w:szCs w:val="32"/>
          <w:lang w:val="en-US" w:eastAsia="zh-CN" w:bidi="ar-SA"/>
        </w:rPr>
        <w:t>警钟长鸣抓好安全生产大排查大整治，累计检查生产经营单位161 余家，排查和整治各类隐患984 余处，行政处罚18 起、罚款1.26 万元。</w:t>
      </w:r>
      <w:r>
        <w:rPr>
          <w:rFonts w:ascii="仿宋_GB2312" w:hAnsi="仿宋_GB2312" w:eastAsia="仿宋_GB2312" w:cs="仿宋_GB2312"/>
          <w:spacing w:val="0"/>
          <w:kern w:val="0"/>
          <w:sz w:val="32"/>
          <w:szCs w:val="32"/>
        </w:rPr>
        <w:t>开展沿街店铺消防安全专项整治，清理“三合一”场所违规住人现象，排查457家，发现隐患457处，已整改379处。压紧压实食品安全“两个责任”，对辖区内28户C级、3013户D级食品生产经营主体开展食品安全包保督导工作，筑牢食品安全防线。全面落实粮食安全责任制，牢牢守住耕地保护红线，粮食播种面积102亩产量36吨，圆满完成粮食生产年度目标任务。从严从紧抓好社会稳定。坚持和发展新时代“枫桥经验”，开展矛盾纠纷大排查大化解行动，深入实施“党建引领、夯基惠民”工程，强化资源整合、职能支撑，搭建以街道综治中心为中枢、11个村（社区）为支撑的综治中心联动阵地，不断提升社会治理质效。镇海街道综治中心作为全市首家乡镇综治中心建设样板点顺利召开全市综治中心现场会。积极做好初信初访办理和信访积案化解工作，今年以来，镇海街道化解10年以上信访积案14件，化解5年以上信访积案15件，化解初信初访57件，群众送来锦旗16面。在全国“两会”、省“两会”期间实现零登记，且截止目前进京访同样保持零登记；初件求决类一次性化解率、有权机关满意率、有权机关参评率均居全区第一。</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坚持实干为先，持续加强政府自身建设。始终把党的全面领导贯穿政府工作各领域全过程，深入学习贯彻党的二十大精神、党的二十届三中全会精神，深刻领悟“两个确立”的决定性意义，增强“四个意识”、坚定“四个自信”、做到“两个维护”。把党纪学习教育作为推进全面从严治党的重要抓手，通过集中授课、专题宣讲、观摩学习和交流讨论的方式，开展专题培训12场次，参加党员3000人次，组织党员前往哲理钟楼、东圳事迹教育基地等现场教学点参观学习，推动党纪学习教育走深走实。打造10个党群服务站，推动9个党群服务中心提档升级，创设梅峰社区“阳光议事角”等群众共治平台11个，与6个“党建+”邻里中心资源联动、服务联动、功能联动。严格落实意识形态工作责任制，巩固主流意识形态话语权，今年以来，累计在东南网、湄洲日报、莆田晚报等媒体上稿130余篇，在“镇海街道办事处”微信公众号发布文章180余篇。坚持依法行政，主动接受人大法律监督、工作监督和政协民主监督，按期办理按期办理市人大代表建议1件、协办1件，区人大代表建议2件、协办2件，政协委员提案2件、协办12件，办复率均为100%。深化“最多跑一次”改革，强化窗口服务措施，便民服务中心全年办件量19756件。传承弘扬“四下基层”优良作风，12345便民热线受理群众诉求5250件，按时办理率100%，群众满意率99.98%。严格落实过“紧日子”要求，持续压减“三公”经费支出。纵深推进党风廉政建设，锲而不舍落实中央八项规定及其实施细则精神，持之以恒纠治“四风”突出问题，坚决做好巡视、巡察反馈问题整改。全办上下始终保持奋进者姿态、创造性张力，唯实争先、比学赶超的劲头更足，风清气正的政治生态持续巩固。</w:t>
      </w:r>
      <w:r>
        <w:rPr>
          <w:rFonts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lang w:val="en-US" w:eastAsia="zh-CN"/>
        </w:rPr>
        <w:t xml:space="preserve">    </w:t>
      </w:r>
      <w:r>
        <w:rPr>
          <w:rFonts w:ascii="仿宋_GB2312" w:hAnsi="仿宋_GB2312" w:eastAsia="仿宋_GB2312" w:cs="仿宋_GB2312"/>
          <w:spacing w:val="0"/>
          <w:kern w:val="0"/>
          <w:sz w:val="32"/>
          <w:szCs w:val="32"/>
        </w:rPr>
        <w:t>与此同时，老龄、妇女儿童、青少年、残联等事业取得新成效，民族、宗教、统计等工作取得新进展，武装、退役军人事务等工作迈出新步伐。</w:t>
      </w:r>
    </w:p>
    <w:p w14:paraId="4E709921">
      <w:pPr>
        <w:sectPr>
          <w:footerReference r:id="rId6" w:type="default"/>
          <w:pgSz w:w="11906" w:h="16838"/>
          <w:pgMar w:top="1440" w:right="720" w:bottom="1440" w:left="720" w:header="720" w:footer="720" w:gutter="0"/>
          <w:cols w:space="720" w:num="1"/>
        </w:sectPr>
      </w:pPr>
    </w:p>
    <w:p w14:paraId="1ABC67E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7F2EAC6">
      <w:pPr>
        <w:pStyle w:val="28"/>
        <w:widowControl/>
        <w:spacing w:before="100" w:after="100"/>
        <w:ind w:left="100" w:right="100" w:firstLine="640"/>
        <w:jc w:val="left"/>
        <w:rPr>
          <w:rFonts w:ascii="Times New Roman" w:hAnsi="Times New Roman" w:eastAsia="Times New Roman" w:cs="Times New Roman"/>
          <w:kern w:val="0"/>
          <w:sz w:val="24"/>
        </w:rPr>
      </w:pPr>
    </w:p>
    <w:p w14:paraId="5B6B492D">
      <w:pPr>
        <w:pStyle w:val="28"/>
        <w:widowControl/>
        <w:spacing w:before="100" w:after="100"/>
        <w:ind w:left="100" w:right="100" w:firstLine="640"/>
        <w:jc w:val="left"/>
        <w:rPr>
          <w:rFonts w:ascii="Times New Roman" w:hAnsi="Times New Roman" w:eastAsia="Times New Roman" w:cs="Times New Roman"/>
          <w:kern w:val="0"/>
          <w:sz w:val="24"/>
        </w:rPr>
      </w:pPr>
    </w:p>
    <w:p w14:paraId="7C72E21F">
      <w:pPr>
        <w:pStyle w:val="28"/>
        <w:widowControl/>
        <w:spacing w:before="100" w:after="100"/>
        <w:ind w:left="100" w:right="100" w:firstLine="640"/>
        <w:jc w:val="left"/>
        <w:rPr>
          <w:rFonts w:ascii="Times New Roman" w:hAnsi="Times New Roman" w:eastAsia="Times New Roman" w:cs="Times New Roman"/>
          <w:kern w:val="0"/>
          <w:sz w:val="24"/>
        </w:rPr>
      </w:pPr>
    </w:p>
    <w:p w14:paraId="1872E793">
      <w:pPr>
        <w:pStyle w:val="28"/>
        <w:widowControl/>
        <w:spacing w:before="100" w:after="100"/>
        <w:ind w:left="100" w:right="100" w:firstLine="640"/>
        <w:jc w:val="left"/>
        <w:rPr>
          <w:rFonts w:ascii="Times New Roman" w:hAnsi="Times New Roman" w:eastAsia="Times New Roman" w:cs="Times New Roman"/>
          <w:kern w:val="0"/>
          <w:sz w:val="24"/>
        </w:rPr>
      </w:pPr>
    </w:p>
    <w:p w14:paraId="02A68871">
      <w:pPr>
        <w:pStyle w:val="28"/>
        <w:widowControl/>
        <w:spacing w:before="100" w:after="100"/>
        <w:ind w:left="100" w:right="100" w:firstLine="640"/>
        <w:jc w:val="left"/>
        <w:rPr>
          <w:rFonts w:ascii="Times New Roman" w:hAnsi="Times New Roman" w:eastAsia="Times New Roman" w:cs="Times New Roman"/>
          <w:kern w:val="0"/>
          <w:sz w:val="24"/>
        </w:rPr>
      </w:pPr>
    </w:p>
    <w:p w14:paraId="0321F87B">
      <w:pPr>
        <w:pStyle w:val="28"/>
        <w:widowControl/>
        <w:spacing w:before="100" w:after="100"/>
        <w:ind w:left="100" w:right="100" w:firstLine="640"/>
        <w:jc w:val="left"/>
        <w:rPr>
          <w:rFonts w:ascii="Times New Roman" w:hAnsi="Times New Roman" w:eastAsia="Times New Roman" w:cs="Times New Roman"/>
          <w:kern w:val="0"/>
          <w:sz w:val="24"/>
        </w:rPr>
      </w:pPr>
    </w:p>
    <w:p w14:paraId="05FDACBE">
      <w:pPr>
        <w:pStyle w:val="28"/>
        <w:widowControl/>
        <w:spacing w:before="100" w:after="100"/>
        <w:ind w:left="100" w:right="100" w:firstLine="640"/>
        <w:jc w:val="left"/>
        <w:rPr>
          <w:rFonts w:ascii="Times New Roman" w:hAnsi="Times New Roman" w:eastAsia="Times New Roman" w:cs="Times New Roman"/>
          <w:kern w:val="0"/>
          <w:sz w:val="24"/>
        </w:rPr>
      </w:pPr>
    </w:p>
    <w:p w14:paraId="0CBDACAC">
      <w:pPr>
        <w:pStyle w:val="28"/>
        <w:widowControl/>
        <w:spacing w:before="100" w:after="100"/>
        <w:ind w:left="100" w:right="100" w:firstLine="640"/>
        <w:jc w:val="left"/>
        <w:rPr>
          <w:rFonts w:ascii="Times New Roman" w:hAnsi="Times New Roman" w:eastAsia="Times New Roman" w:cs="Times New Roman"/>
          <w:kern w:val="0"/>
          <w:sz w:val="24"/>
        </w:rPr>
      </w:pPr>
    </w:p>
    <w:p w14:paraId="5D558F16">
      <w:pPr>
        <w:pStyle w:val="28"/>
        <w:widowControl/>
        <w:spacing w:before="100" w:after="100"/>
        <w:ind w:left="100" w:right="100" w:firstLine="640"/>
        <w:jc w:val="left"/>
        <w:rPr>
          <w:rFonts w:ascii="Times New Roman" w:hAnsi="Times New Roman" w:eastAsia="Times New Roman" w:cs="Times New Roman"/>
          <w:kern w:val="0"/>
          <w:sz w:val="24"/>
        </w:rPr>
      </w:pPr>
    </w:p>
    <w:p w14:paraId="7155F663">
      <w:pPr>
        <w:pStyle w:val="28"/>
        <w:widowControl/>
        <w:spacing w:before="100" w:after="100"/>
        <w:ind w:left="100" w:right="100" w:firstLine="640"/>
        <w:jc w:val="left"/>
        <w:rPr>
          <w:rFonts w:ascii="Times New Roman" w:hAnsi="Times New Roman" w:eastAsia="Times New Roman" w:cs="Times New Roman"/>
          <w:kern w:val="0"/>
          <w:sz w:val="24"/>
        </w:rPr>
      </w:pPr>
    </w:p>
    <w:p w14:paraId="7AE55EA7">
      <w:pPr>
        <w:pStyle w:val="28"/>
        <w:widowControl/>
        <w:spacing w:before="100" w:after="100"/>
        <w:ind w:left="100" w:right="100" w:firstLine="640"/>
        <w:jc w:val="left"/>
        <w:rPr>
          <w:rFonts w:ascii="Times New Roman" w:hAnsi="Times New Roman" w:eastAsia="Times New Roman" w:cs="Times New Roman"/>
          <w:kern w:val="0"/>
          <w:sz w:val="24"/>
        </w:rPr>
      </w:pPr>
    </w:p>
    <w:p w14:paraId="4F9D7769">
      <w:pPr>
        <w:pStyle w:val="28"/>
        <w:widowControl/>
        <w:spacing w:before="100" w:after="100"/>
        <w:ind w:left="100" w:right="100" w:firstLine="640"/>
        <w:jc w:val="left"/>
        <w:rPr>
          <w:rFonts w:ascii="Times New Roman" w:hAnsi="Times New Roman" w:eastAsia="Times New Roman" w:cs="Times New Roman"/>
          <w:kern w:val="0"/>
          <w:sz w:val="24"/>
        </w:rPr>
      </w:pPr>
    </w:p>
    <w:p w14:paraId="7099AB75">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109"/>
      <w:bookmarkStart w:id="26" w:name="_Toc256000031"/>
      <w:bookmarkStart w:id="27" w:name="_Toc256000082"/>
      <w:bookmarkStart w:id="28" w:name="_Toc256000004"/>
      <w:bookmarkStart w:id="29" w:name="_Toc256000136"/>
      <w:bookmarkStart w:id="30" w:name="_Toc256000058"/>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2024年度单位决算表</w:t>
      </w:r>
      <w:bookmarkEnd w:id="25"/>
      <w:bookmarkEnd w:id="26"/>
      <w:bookmarkEnd w:id="27"/>
      <w:bookmarkEnd w:id="28"/>
      <w:bookmarkEnd w:id="29"/>
      <w:bookmarkEnd w:id="30"/>
    </w:p>
    <w:p w14:paraId="298C9E75">
      <w:pPr>
        <w:sectPr>
          <w:footerReference r:id="rId7" w:type="default"/>
          <w:pgSz w:w="11906" w:h="16838"/>
          <w:pgMar w:top="1440" w:right="720" w:bottom="1440" w:left="720" w:header="720" w:footer="720" w:gutter="0"/>
          <w:cols w:space="720" w:num="1"/>
        </w:sectPr>
      </w:pPr>
    </w:p>
    <w:p w14:paraId="2A2D4D0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2110CC11">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059"/>
      <w:bookmarkStart w:id="32" w:name="_Toc256000083"/>
      <w:bookmarkStart w:id="33" w:name="_Toc256000110"/>
      <w:bookmarkStart w:id="34" w:name="_Toc256000005"/>
      <w:bookmarkStart w:id="35" w:name="_Toc256000137"/>
      <w:bookmarkStart w:id="36" w:name="_Toc256000032"/>
      <w:r>
        <w:rPr>
          <w:rFonts w:ascii="黑体" w:hAnsi="黑体" w:eastAsia="黑体" w:cs="黑体"/>
          <w:b w:val="0"/>
          <w:bCs w:val="0"/>
          <w:spacing w:val="0"/>
        </w:rPr>
        <w:t>一、收入支出决算总表</w:t>
      </w:r>
      <w:bookmarkEnd w:id="31"/>
      <w:bookmarkEnd w:id="32"/>
      <w:bookmarkEnd w:id="33"/>
      <w:bookmarkEnd w:id="34"/>
      <w:bookmarkEnd w:id="35"/>
      <w:bookmarkEnd w:id="36"/>
    </w:p>
    <w:p w14:paraId="7CB7207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3789"/>
        <w:gridCol w:w="3790"/>
        <w:gridCol w:w="3790"/>
        <w:gridCol w:w="3790"/>
      </w:tblGrid>
      <w:tr w14:paraId="4E45E680">
        <w:tblPrEx>
          <w:tblCellMar>
            <w:top w:w="0" w:type="dxa"/>
            <w:left w:w="108" w:type="dxa"/>
            <w:bottom w:w="0" w:type="dxa"/>
            <w:right w:w="108" w:type="dxa"/>
          </w:tblCellMar>
        </w:tblPrEx>
        <w:trPr>
          <w:cantSplit/>
          <w:tblHeader/>
        </w:trPr>
        <w:tc>
          <w:tcPr>
            <w:tcW w:w="16380" w:type="dxa"/>
            <w:gridSpan w:val="4"/>
            <w:noWrap w:val="0"/>
            <w:tcMar>
              <w:top w:w="20" w:type="dxa"/>
              <w:left w:w="108" w:type="dxa"/>
              <w:bottom w:w="20" w:type="dxa"/>
              <w:right w:w="108" w:type="dxa"/>
            </w:tcMar>
            <w:vAlign w:val="center"/>
          </w:tcPr>
          <w:p w14:paraId="26335FEE">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1CBE60C4">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02936AF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F4D72A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10E06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3630DB94">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308069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编制单位：莆田市荔城区镇海街道综合便民服务中心</w:t>
            </w:r>
          </w:p>
        </w:tc>
        <w:tc>
          <w:tcPr>
            <w:tcW w:w="21600" w:type="dxa"/>
            <w:noWrap w:val="0"/>
            <w:tcMar>
              <w:top w:w="20" w:type="dxa"/>
              <w:left w:w="108" w:type="dxa"/>
              <w:bottom w:w="20" w:type="dxa"/>
              <w:right w:w="108" w:type="dxa"/>
            </w:tcMar>
            <w:vAlign w:val="center"/>
          </w:tcPr>
          <w:p w14:paraId="455077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E712051">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8C234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CBD1C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39795CD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C1098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E947C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1A3A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CD47B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0CB89BA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AA10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968A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49EC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A71C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r>
      <w:tr w14:paraId="1EE22FD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C16B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1A46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7461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FEAA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A20AE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A47D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B37B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CE8D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4726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6C9E1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5D1C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7050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54F3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5DC1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8BA9B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8305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ED5F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4065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BC7D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5EEC2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6B96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F798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EA90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F7D6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8CB28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F3D0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A52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38D7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21D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AC0B6C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9BDC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8BB7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E022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0E18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r>
      <w:tr w14:paraId="0C3D736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B531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757D1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B62D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7A17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r>
      <w:tr w14:paraId="1FC223F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D625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CE9F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2C60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BE22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09A4D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223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0E52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2248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E76E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82A36D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6680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FE3A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6ECA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31E6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12A48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48C4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59CB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95EF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B883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EFC11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1822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3C7C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A6F0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6C4C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33BB3C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F7AA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AD4D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764C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0348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D4D48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2A5E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F3F5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AEF9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6900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38EC4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B38F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E1ED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2BA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B232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8F16E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C5E8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DDD3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25B9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7552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AD8E6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6B44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0296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5D15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55AE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r>
      <w:tr w14:paraId="239531F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60CF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B83B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F19F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AA40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E950D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4632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C118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CE0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94EB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81EE7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ABAE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869F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A98E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209B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30B70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473C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9CB1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0BBE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4746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19E6B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AC6B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B2D5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E7EA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A960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0462D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78D5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CB6D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64D3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2963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1031E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16C3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CA07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23A0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93F8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76546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10FC9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B8CB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23277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2D5E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r>
      <w:tr w14:paraId="6911152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4A11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96D2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6327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4319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20975D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FEB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C927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7CBB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01EE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36369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5AD9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24C16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8E3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C8C82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035C146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2718C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63F2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DA3F4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72E4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r>
      <w:tr w14:paraId="2C283E3B">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46A9380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注：1.本表反映单位本年度的总收支和年末结转结余情况。</w:t>
            </w:r>
          </w:p>
        </w:tc>
      </w:tr>
      <w:tr w14:paraId="2CB4EA10">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4E813129">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7F5ACA4D">
      <w:pPr>
        <w:sectPr>
          <w:footerReference r:id="rId8" w:type="default"/>
          <w:pgSz w:w="16383" w:h="11906" w:orient="landscape"/>
          <w:pgMar w:top="1134" w:right="720" w:bottom="1134" w:left="720" w:header="720" w:footer="720" w:gutter="0"/>
          <w:cols w:space="720" w:num="1"/>
        </w:sectPr>
      </w:pPr>
    </w:p>
    <w:p w14:paraId="79ECBBB2">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41FCB120">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033"/>
      <w:bookmarkStart w:id="38" w:name="_Toc256000138"/>
      <w:bookmarkStart w:id="39" w:name="_Toc256000006"/>
      <w:bookmarkStart w:id="40" w:name="_Toc256000111"/>
      <w:bookmarkStart w:id="41" w:name="_Toc256000084"/>
      <w:bookmarkStart w:id="42" w:name="_Toc256000060"/>
      <w:r>
        <w:rPr>
          <w:rFonts w:ascii="黑体" w:hAnsi="黑体" w:eastAsia="黑体" w:cs="黑体"/>
          <w:b w:val="0"/>
          <w:bCs w:val="0"/>
          <w:spacing w:val="0"/>
        </w:rPr>
        <w:t>二、收入决算表</w:t>
      </w:r>
      <w:bookmarkEnd w:id="37"/>
      <w:bookmarkEnd w:id="38"/>
      <w:bookmarkEnd w:id="39"/>
      <w:bookmarkEnd w:id="40"/>
      <w:bookmarkEnd w:id="41"/>
      <w:bookmarkEnd w:id="42"/>
    </w:p>
    <w:p w14:paraId="02202A55">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19"/>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49F6C82F">
        <w:tblPrEx>
          <w:tblCellMar>
            <w:top w:w="0" w:type="dxa"/>
            <w:left w:w="108" w:type="dxa"/>
            <w:bottom w:w="0" w:type="dxa"/>
            <w:right w:w="108" w:type="dxa"/>
          </w:tblCellMar>
        </w:tblPrEx>
        <w:trPr>
          <w:cantSplit/>
          <w:tblHeader/>
        </w:trPr>
        <w:tc>
          <w:tcPr>
            <w:tcW w:w="14578" w:type="dxa"/>
            <w:gridSpan w:val="11"/>
            <w:noWrap w:val="0"/>
            <w:tcMar>
              <w:top w:w="20" w:type="dxa"/>
              <w:left w:w="108" w:type="dxa"/>
              <w:bottom w:w="20" w:type="dxa"/>
              <w:right w:w="108" w:type="dxa"/>
            </w:tcMar>
            <w:vAlign w:val="center"/>
          </w:tcPr>
          <w:p w14:paraId="21801531">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1B3A5BFE">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684194A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15269CD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516054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D3F5E2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2D2618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5A8110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C9FE85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27BECA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E05DE2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717953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05F27C91">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10F146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编制单位：莆田市荔城区镇海街道综合便民服务中心</w:t>
            </w:r>
          </w:p>
        </w:tc>
        <w:tc>
          <w:tcPr>
            <w:tcW w:w="21600" w:type="dxa"/>
            <w:noWrap w:val="0"/>
            <w:tcMar>
              <w:top w:w="20" w:type="dxa"/>
              <w:left w:w="108" w:type="dxa"/>
              <w:bottom w:w="20" w:type="dxa"/>
              <w:right w:w="108" w:type="dxa"/>
            </w:tcMar>
            <w:vAlign w:val="bottom"/>
          </w:tcPr>
          <w:p w14:paraId="12CE4BA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7D255C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140E52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4C7CBC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39FC14A">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7B684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95490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8DAAA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B891B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97E36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704D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3494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BF30B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3A1071C9">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75AED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D114C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501B5A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6D97E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64A903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AEBE4B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32B149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59D21C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9F4B847">
            <w:pPr>
              <w:rPr>
                <w:rFonts w:ascii="Times New Roman" w:hAnsi="Times New Roman" w:eastAsia="Times New Roman" w:cs="Times New Roman"/>
                <w:b w:val="0"/>
                <w:bCs w:val="0"/>
                <w:i w:val="0"/>
                <w:iCs w:val="0"/>
                <w:smallCaps w:val="0"/>
                <w:color w:val="000000"/>
                <w:kern w:val="0"/>
                <w:sz w:val="26"/>
                <w:szCs w:val="26"/>
              </w:rPr>
            </w:pPr>
          </w:p>
        </w:tc>
      </w:tr>
      <w:tr w14:paraId="27308691">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ACD251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D09288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B76184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D45DBB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B5587F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6BD7DD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17B49A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B73A13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54B58AF">
            <w:pPr>
              <w:rPr>
                <w:rFonts w:ascii="Times New Roman" w:hAnsi="Times New Roman" w:eastAsia="Times New Roman" w:cs="Times New Roman"/>
                <w:b w:val="0"/>
                <w:bCs w:val="0"/>
                <w:i w:val="0"/>
                <w:iCs w:val="0"/>
                <w:smallCaps w:val="0"/>
                <w:color w:val="000000"/>
                <w:kern w:val="0"/>
                <w:sz w:val="26"/>
                <w:szCs w:val="26"/>
              </w:rPr>
            </w:pPr>
          </w:p>
        </w:tc>
      </w:tr>
      <w:tr w14:paraId="7445D315">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C937E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E31E2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8B2A3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B2B0E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957D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3AFE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0781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A655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A9B9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EF65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8D5B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EA8B8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2454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B10F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3E29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32AB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827D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5186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0C5C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93C1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C61E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FEA43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419E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F2CC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30B5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4D4A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4356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8C4E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6563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4EED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10A4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C09CF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F1B2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0E23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537D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B73A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43ED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1C89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C06C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EC4C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4EC4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6D63F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B8CC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BACB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75F6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110D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EF9A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9095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A71A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6E62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F6AB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EC0F3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FA47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F853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616A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8722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4A9B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89E7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060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E69D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394F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C66C1D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C988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8C4D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4BC1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6824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4173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84AF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9792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88BC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B4B3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8AE63F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A4AA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8F05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431F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D61E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605E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4539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8C22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B749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D2EC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CA2EA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955F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1BCE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8AE3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AE23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9419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4637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2212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8260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76DD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CE5FD2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F372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0C59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F74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0B5B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1744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7298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818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55CF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B25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DAAFD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C327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26AA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B10F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FA60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F262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06F5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E254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1B43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C731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65F5E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84B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60FC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F5B0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D15F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4583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8AA0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73D8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0B14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B16C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25949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81D4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8699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8B06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0E29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7E56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881A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A410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B50E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370F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B9B3C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7B5F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6050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F7C4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CAA3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6C42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48F0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B0B1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C2F9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69D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E8E0F5">
        <w:tblPrEx>
          <w:tblCellMar>
            <w:top w:w="0" w:type="dxa"/>
            <w:left w:w="108" w:type="dxa"/>
            <w:bottom w:w="0" w:type="dxa"/>
            <w:right w:w="108" w:type="dxa"/>
          </w:tblCellMar>
        </w:tblPrEx>
        <w:trPr>
          <w:cantSplit/>
        </w:trPr>
        <w:tc>
          <w:tcPr>
            <w:tcW w:w="14578" w:type="dxa"/>
            <w:gridSpan w:val="11"/>
            <w:noWrap w:val="0"/>
            <w:tcMar>
              <w:top w:w="20" w:type="dxa"/>
              <w:left w:w="108" w:type="dxa"/>
              <w:bottom w:w="20" w:type="dxa"/>
              <w:right w:w="108" w:type="dxa"/>
            </w:tcMar>
            <w:vAlign w:val="center"/>
          </w:tcPr>
          <w:p w14:paraId="27A06A79">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注：本表反映单位本年度取得的各项收入情况。</w:t>
            </w:r>
          </w:p>
        </w:tc>
      </w:tr>
    </w:tbl>
    <w:p w14:paraId="0B77F432">
      <w:pPr>
        <w:sectPr>
          <w:footerReference r:id="rId9" w:type="default"/>
          <w:pgSz w:w="16383" w:h="11906" w:orient="landscape"/>
          <w:pgMar w:top="1134" w:right="720" w:bottom="1134" w:left="720" w:header="720" w:footer="720" w:gutter="0"/>
          <w:cols w:space="720" w:num="1"/>
        </w:sectPr>
      </w:pPr>
    </w:p>
    <w:p w14:paraId="1D454E29">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1A0AB9B8">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112"/>
      <w:bookmarkStart w:id="44" w:name="_Toc256000085"/>
      <w:bookmarkStart w:id="45" w:name="_Toc256000139"/>
      <w:bookmarkStart w:id="46" w:name="_Toc256000007"/>
      <w:bookmarkStart w:id="47" w:name="_Toc256000034"/>
      <w:bookmarkStart w:id="48" w:name="_Toc256000061"/>
      <w:r>
        <w:rPr>
          <w:rFonts w:ascii="黑体" w:hAnsi="黑体" w:eastAsia="黑体" w:cs="黑体"/>
          <w:b w:val="0"/>
          <w:bCs w:val="0"/>
          <w:spacing w:val="0"/>
        </w:rPr>
        <w:t>三、支出决算表</w:t>
      </w:r>
      <w:bookmarkEnd w:id="43"/>
      <w:bookmarkEnd w:id="44"/>
      <w:bookmarkEnd w:id="45"/>
      <w:bookmarkEnd w:id="46"/>
      <w:bookmarkEnd w:id="47"/>
      <w:bookmarkEnd w:id="48"/>
    </w:p>
    <w:p w14:paraId="58FC078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2141"/>
        <w:gridCol w:w="1651"/>
        <w:gridCol w:w="1896"/>
        <w:gridCol w:w="1896"/>
        <w:gridCol w:w="1896"/>
        <w:gridCol w:w="1896"/>
        <w:gridCol w:w="1896"/>
      </w:tblGrid>
      <w:tr w14:paraId="58E5FE80">
        <w:tblPrEx>
          <w:tblCellMar>
            <w:top w:w="0" w:type="dxa"/>
            <w:left w:w="108" w:type="dxa"/>
            <w:bottom w:w="0" w:type="dxa"/>
            <w:right w:w="108" w:type="dxa"/>
          </w:tblCellMar>
        </w:tblPrEx>
        <w:trPr>
          <w:cantSplit/>
          <w:tblHeader/>
        </w:trPr>
        <w:tc>
          <w:tcPr>
            <w:tcW w:w="15159" w:type="dxa"/>
            <w:gridSpan w:val="10"/>
            <w:noWrap w:val="0"/>
            <w:tcMar>
              <w:top w:w="20" w:type="dxa"/>
              <w:left w:w="108" w:type="dxa"/>
              <w:bottom w:w="20" w:type="dxa"/>
              <w:right w:w="108" w:type="dxa"/>
            </w:tcMar>
            <w:vAlign w:val="center"/>
          </w:tcPr>
          <w:p w14:paraId="4D8BAB5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1F4FC388">
        <w:tblPrEx>
          <w:tblCellMar>
            <w:top w:w="0" w:type="dxa"/>
            <w:left w:w="108" w:type="dxa"/>
            <w:bottom w:w="0" w:type="dxa"/>
            <w:right w:w="108" w:type="dxa"/>
          </w:tblCellMar>
        </w:tblPrEx>
        <w:trPr>
          <w:cantSplit/>
          <w:tblHeader/>
        </w:trPr>
        <w:tc>
          <w:tcPr>
            <w:tcW w:w="4028" w:type="dxa"/>
            <w:gridSpan w:val="4"/>
            <w:noWrap w:val="0"/>
            <w:tcMar>
              <w:top w:w="20" w:type="dxa"/>
              <w:left w:w="108" w:type="dxa"/>
              <w:bottom w:w="20" w:type="dxa"/>
              <w:right w:w="108" w:type="dxa"/>
            </w:tcMar>
            <w:vAlign w:val="bottom"/>
          </w:tcPr>
          <w:p w14:paraId="7BA9EA2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51" w:type="dxa"/>
            <w:noWrap w:val="0"/>
            <w:tcMar>
              <w:top w:w="20" w:type="dxa"/>
              <w:left w:w="108" w:type="dxa"/>
              <w:bottom w:w="20" w:type="dxa"/>
              <w:right w:w="108" w:type="dxa"/>
            </w:tcMar>
            <w:vAlign w:val="bottom"/>
          </w:tcPr>
          <w:p w14:paraId="54D8067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noWrap w:val="0"/>
            <w:tcMar>
              <w:top w:w="20" w:type="dxa"/>
              <w:left w:w="108" w:type="dxa"/>
              <w:bottom w:w="20" w:type="dxa"/>
              <w:right w:w="108" w:type="dxa"/>
            </w:tcMar>
            <w:vAlign w:val="bottom"/>
          </w:tcPr>
          <w:p w14:paraId="031BA05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noWrap w:val="0"/>
            <w:tcMar>
              <w:top w:w="20" w:type="dxa"/>
              <w:left w:w="108" w:type="dxa"/>
              <w:bottom w:w="20" w:type="dxa"/>
              <w:right w:w="108" w:type="dxa"/>
            </w:tcMar>
            <w:vAlign w:val="bottom"/>
          </w:tcPr>
          <w:p w14:paraId="44E5C9C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noWrap w:val="0"/>
            <w:tcMar>
              <w:top w:w="20" w:type="dxa"/>
              <w:left w:w="108" w:type="dxa"/>
              <w:bottom w:w="20" w:type="dxa"/>
              <w:right w:w="108" w:type="dxa"/>
            </w:tcMar>
            <w:vAlign w:val="bottom"/>
          </w:tcPr>
          <w:p w14:paraId="7C60CA6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792" w:type="dxa"/>
            <w:gridSpan w:val="2"/>
            <w:noWrap w:val="0"/>
            <w:tcMar>
              <w:top w:w="20" w:type="dxa"/>
              <w:left w:w="108" w:type="dxa"/>
              <w:bottom w:w="20" w:type="dxa"/>
              <w:right w:w="108" w:type="dxa"/>
            </w:tcMar>
            <w:vAlign w:val="center"/>
          </w:tcPr>
          <w:p w14:paraId="6B5B35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68AEBE21">
        <w:tblPrEx>
          <w:tblCellMar>
            <w:top w:w="0" w:type="dxa"/>
            <w:left w:w="108" w:type="dxa"/>
            <w:bottom w:w="0" w:type="dxa"/>
            <w:right w:w="108" w:type="dxa"/>
          </w:tblCellMar>
        </w:tblPrEx>
        <w:trPr>
          <w:cantSplit/>
          <w:tblHeader/>
        </w:trPr>
        <w:tc>
          <w:tcPr>
            <w:tcW w:w="9471" w:type="dxa"/>
            <w:gridSpan w:val="7"/>
            <w:noWrap w:val="0"/>
            <w:tcMar>
              <w:top w:w="20" w:type="dxa"/>
              <w:left w:w="108" w:type="dxa"/>
              <w:bottom w:w="20" w:type="dxa"/>
              <w:right w:w="108" w:type="dxa"/>
            </w:tcMar>
            <w:vAlign w:val="center"/>
          </w:tcPr>
          <w:p w14:paraId="1E79BA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编制单位：莆田市荔城区镇海街道综合便民服务中心</w:t>
            </w:r>
          </w:p>
        </w:tc>
        <w:tc>
          <w:tcPr>
            <w:tcW w:w="1896" w:type="dxa"/>
            <w:noWrap w:val="0"/>
            <w:tcMar>
              <w:top w:w="20" w:type="dxa"/>
              <w:left w:w="108" w:type="dxa"/>
              <w:bottom w:w="20" w:type="dxa"/>
              <w:right w:w="108" w:type="dxa"/>
            </w:tcMar>
            <w:vAlign w:val="bottom"/>
          </w:tcPr>
          <w:p w14:paraId="2AC9B32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792" w:type="dxa"/>
            <w:gridSpan w:val="2"/>
            <w:noWrap w:val="0"/>
            <w:tcMar>
              <w:top w:w="20" w:type="dxa"/>
              <w:left w:w="108" w:type="dxa"/>
              <w:bottom w:w="20" w:type="dxa"/>
              <w:right w:w="108" w:type="dxa"/>
            </w:tcMar>
            <w:vAlign w:val="center"/>
          </w:tcPr>
          <w:p w14:paraId="0372E5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28E3D8E">
        <w:tblPrEx>
          <w:tblCellMar>
            <w:top w:w="0" w:type="dxa"/>
            <w:left w:w="108" w:type="dxa"/>
            <w:bottom w:w="0" w:type="dxa"/>
            <w:right w:w="108" w:type="dxa"/>
          </w:tblCellMar>
        </w:tblPrEx>
        <w:trPr>
          <w:cantSplit/>
          <w:tblHeader/>
        </w:trPr>
        <w:tc>
          <w:tcPr>
            <w:tcW w:w="4028"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19717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BF45C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1896"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0009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1896"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69D4D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1896"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7974C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1896"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88983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1896"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F5142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43337526">
        <w:tblPrEx>
          <w:tblCellMar>
            <w:top w:w="0" w:type="dxa"/>
            <w:left w:w="108" w:type="dxa"/>
            <w:bottom w:w="0" w:type="dxa"/>
            <w:right w:w="108" w:type="dxa"/>
          </w:tblCellMar>
        </w:tblPrEx>
        <w:trPr>
          <w:cantSplit/>
          <w:tblHeader/>
        </w:trPr>
        <w:tc>
          <w:tcPr>
            <w:tcW w:w="1887"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ECD69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41"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E2C9E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651" w:type="dxa"/>
            <w:vMerge w:val="restart"/>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5D0F1DD">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0214588">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BFCE69D">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5BF081">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A02754">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A0CDFF7">
            <w:pPr>
              <w:rPr>
                <w:rFonts w:ascii="Times New Roman" w:hAnsi="Times New Roman" w:eastAsia="Times New Roman" w:cs="Times New Roman"/>
                <w:b w:val="0"/>
                <w:bCs w:val="0"/>
                <w:i w:val="0"/>
                <w:iCs w:val="0"/>
                <w:smallCaps w:val="0"/>
                <w:color w:val="000000"/>
                <w:kern w:val="0"/>
                <w:sz w:val="26"/>
                <w:szCs w:val="26"/>
              </w:rPr>
            </w:pPr>
          </w:p>
        </w:tc>
      </w:tr>
      <w:tr w14:paraId="7E04CF3B">
        <w:tblPrEx>
          <w:tblCellMar>
            <w:top w:w="0" w:type="dxa"/>
            <w:left w:w="108" w:type="dxa"/>
            <w:bottom w:w="0" w:type="dxa"/>
            <w:right w:w="108" w:type="dxa"/>
          </w:tblCellMar>
        </w:tblPrEx>
        <w:trPr>
          <w:cantSplit/>
          <w:tblHeader/>
        </w:trPr>
        <w:tc>
          <w:tcPr>
            <w:tcW w:w="1887"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1385A65">
            <w:pPr>
              <w:rPr>
                <w:rFonts w:ascii="Times New Roman" w:hAnsi="Times New Roman" w:eastAsia="Times New Roman" w:cs="Times New Roman"/>
                <w:b w:val="0"/>
                <w:bCs w:val="0"/>
                <w:i w:val="0"/>
                <w:iCs w:val="0"/>
                <w:smallCaps w:val="0"/>
                <w:color w:val="000000"/>
                <w:kern w:val="0"/>
                <w:sz w:val="26"/>
                <w:szCs w:val="26"/>
              </w:rPr>
            </w:pPr>
          </w:p>
        </w:tc>
        <w:tc>
          <w:tcPr>
            <w:tcW w:w="2141"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3DB1231">
            <w:pPr>
              <w:rPr>
                <w:rFonts w:ascii="Times New Roman" w:hAnsi="Times New Roman" w:eastAsia="Times New Roman" w:cs="Times New Roman"/>
                <w:b w:val="0"/>
                <w:bCs w:val="0"/>
                <w:i w:val="0"/>
                <w:iCs w:val="0"/>
                <w:smallCaps w:val="0"/>
                <w:color w:val="000000"/>
                <w:kern w:val="0"/>
                <w:sz w:val="26"/>
                <w:szCs w:val="26"/>
              </w:rPr>
            </w:pPr>
          </w:p>
        </w:tc>
        <w:tc>
          <w:tcPr>
            <w:tcW w:w="1651"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87B2A24">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267B60F">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78542E1">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30386E">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2129DF6">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456F938">
            <w:pPr>
              <w:rPr>
                <w:rFonts w:ascii="Times New Roman" w:hAnsi="Times New Roman" w:eastAsia="Times New Roman" w:cs="Times New Roman"/>
                <w:b w:val="0"/>
                <w:bCs w:val="0"/>
                <w:i w:val="0"/>
                <w:iCs w:val="0"/>
                <w:smallCaps w:val="0"/>
                <w:color w:val="000000"/>
                <w:kern w:val="0"/>
                <w:sz w:val="26"/>
                <w:szCs w:val="26"/>
              </w:rPr>
            </w:pPr>
          </w:p>
        </w:tc>
      </w:tr>
      <w:tr w14:paraId="366F8736">
        <w:tblPrEx>
          <w:tblCellMar>
            <w:top w:w="0" w:type="dxa"/>
            <w:left w:w="108" w:type="dxa"/>
            <w:bottom w:w="0" w:type="dxa"/>
            <w:right w:w="108" w:type="dxa"/>
          </w:tblCellMar>
        </w:tblPrEx>
        <w:trPr>
          <w:cantSplit/>
          <w:tblHeader/>
        </w:trPr>
        <w:tc>
          <w:tcPr>
            <w:tcW w:w="629"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BCBA0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629"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CFA45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629"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9B29E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4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3F964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AF1C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F2B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5052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D150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38D2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982A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946F4E">
        <w:tblPrEx>
          <w:tblCellMar>
            <w:top w:w="0" w:type="dxa"/>
            <w:left w:w="108" w:type="dxa"/>
            <w:bottom w:w="0" w:type="dxa"/>
            <w:right w:w="108" w:type="dxa"/>
          </w:tblCellMar>
        </w:tblPrEx>
        <w:trPr>
          <w:cantSplit/>
          <w:tblHeader/>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EB79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4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0FFE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A367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60F1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3E0E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AC6F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A1A4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84E4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05D21F">
        <w:tblPrEx>
          <w:tblCellMar>
            <w:top w:w="0" w:type="dxa"/>
            <w:left w:w="108" w:type="dxa"/>
            <w:bottom w:w="0" w:type="dxa"/>
            <w:right w:w="108" w:type="dxa"/>
          </w:tblCellMar>
        </w:tblPrEx>
        <w:trPr>
          <w:cantSplit/>
          <w:tblHeader/>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1B91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4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778B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99A7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43C3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EA64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BF7B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FD00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A2F0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0032F3">
        <w:tblPrEx>
          <w:tblCellMar>
            <w:top w:w="0" w:type="dxa"/>
            <w:left w:w="108" w:type="dxa"/>
            <w:bottom w:w="0" w:type="dxa"/>
            <w:right w:w="108" w:type="dxa"/>
          </w:tblCellMar>
        </w:tblPrEx>
        <w:trPr>
          <w:cantSplit/>
          <w:tblHeader/>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E915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4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32B9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8A32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F47A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90C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4138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2A67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4C2E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0CDC113">
        <w:tblPrEx>
          <w:tblCellMar>
            <w:top w:w="0" w:type="dxa"/>
            <w:left w:w="108" w:type="dxa"/>
            <w:bottom w:w="0" w:type="dxa"/>
            <w:right w:w="108" w:type="dxa"/>
          </w:tblCellMar>
        </w:tblPrEx>
        <w:trPr>
          <w:cantSplit/>
          <w:tblHeader/>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1BED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4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CA42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22E2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909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7ECD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E09A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FFD2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779C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5813E0">
        <w:tblPrEx>
          <w:tblCellMar>
            <w:top w:w="0" w:type="dxa"/>
            <w:left w:w="108" w:type="dxa"/>
            <w:bottom w:w="0" w:type="dxa"/>
            <w:right w:w="108" w:type="dxa"/>
          </w:tblCellMar>
        </w:tblPrEx>
        <w:trPr>
          <w:cantSplit/>
          <w:tblHeader/>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B40E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4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94AF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97AF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9004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7C14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8B07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38DB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CC7F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2D24FD">
        <w:tblPrEx>
          <w:tblCellMar>
            <w:top w:w="0" w:type="dxa"/>
            <w:left w:w="108" w:type="dxa"/>
            <w:bottom w:w="0" w:type="dxa"/>
            <w:right w:w="108" w:type="dxa"/>
          </w:tblCellMar>
        </w:tblPrEx>
        <w:trPr>
          <w:cantSplit/>
          <w:tblHeader/>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D241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2080502</w:t>
            </w:r>
          </w:p>
        </w:tc>
        <w:tc>
          <w:tcPr>
            <w:tcW w:w="214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574A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事业单位离退休</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6CF2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D5BE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AFAC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795A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A823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502D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8F56F9">
        <w:tblPrEx>
          <w:tblCellMar>
            <w:top w:w="0" w:type="dxa"/>
            <w:left w:w="108" w:type="dxa"/>
            <w:bottom w:w="0" w:type="dxa"/>
            <w:right w:w="108" w:type="dxa"/>
          </w:tblCellMar>
        </w:tblPrEx>
        <w:trPr>
          <w:cantSplit/>
          <w:tblHeader/>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AE4B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4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A212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FB5F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9C37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E59B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69AF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9A4C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F3EC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D26FF1">
        <w:tblPrEx>
          <w:tblCellMar>
            <w:top w:w="0" w:type="dxa"/>
            <w:left w:w="108" w:type="dxa"/>
            <w:bottom w:w="0" w:type="dxa"/>
            <w:right w:w="108" w:type="dxa"/>
          </w:tblCellMar>
        </w:tblPrEx>
        <w:trPr>
          <w:cantSplit/>
          <w:tblHeader/>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D50F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4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15B8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4193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07CB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5142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72D4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232B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2D2C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A62697">
        <w:tblPrEx>
          <w:tblCellMar>
            <w:top w:w="0" w:type="dxa"/>
            <w:left w:w="108" w:type="dxa"/>
            <w:bottom w:w="0" w:type="dxa"/>
            <w:right w:w="108" w:type="dxa"/>
          </w:tblCellMar>
        </w:tblPrEx>
        <w:trPr>
          <w:cantSplit/>
          <w:tblHeader/>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C3C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4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3EEB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F850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5F47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FBC3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35A5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FC3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482A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F6D6DF9">
        <w:tblPrEx>
          <w:tblCellMar>
            <w:top w:w="0" w:type="dxa"/>
            <w:left w:w="108" w:type="dxa"/>
            <w:bottom w:w="0" w:type="dxa"/>
            <w:right w:w="108" w:type="dxa"/>
          </w:tblCellMar>
        </w:tblPrEx>
        <w:trPr>
          <w:cantSplit/>
          <w:tblHeader/>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10B4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4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C511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CFEC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3662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7ACE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DCB8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19F3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9724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84C2FAA">
        <w:tblPrEx>
          <w:tblCellMar>
            <w:top w:w="0" w:type="dxa"/>
            <w:left w:w="108" w:type="dxa"/>
            <w:bottom w:w="0" w:type="dxa"/>
            <w:right w:w="108" w:type="dxa"/>
          </w:tblCellMar>
        </w:tblPrEx>
        <w:trPr>
          <w:cantSplit/>
          <w:tblHeader/>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9C23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4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30BE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8CB1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BE7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2C43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41AC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7C73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B835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D92E421">
        <w:tblPrEx>
          <w:tblCellMar>
            <w:top w:w="0" w:type="dxa"/>
            <w:left w:w="108" w:type="dxa"/>
            <w:bottom w:w="0" w:type="dxa"/>
            <w:right w:w="108" w:type="dxa"/>
          </w:tblCellMar>
        </w:tblPrEx>
        <w:trPr>
          <w:cantSplit/>
          <w:tblHeader/>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F1AD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4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40C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51A9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BDB8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1833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A98C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CEF0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D2D5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4A9785">
        <w:tblPrEx>
          <w:tblCellMar>
            <w:top w:w="0" w:type="dxa"/>
            <w:left w:w="108" w:type="dxa"/>
            <w:bottom w:w="0" w:type="dxa"/>
            <w:right w:w="108" w:type="dxa"/>
          </w:tblCellMar>
        </w:tblPrEx>
        <w:trPr>
          <w:cantSplit/>
          <w:tblHeader/>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90ED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4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22B3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1651"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B2DB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2ADC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73B9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50DF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15AF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AFD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A33EE5">
        <w:tblPrEx>
          <w:tblCellMar>
            <w:top w:w="0" w:type="dxa"/>
            <w:left w:w="108" w:type="dxa"/>
            <w:bottom w:w="0" w:type="dxa"/>
            <w:right w:w="108" w:type="dxa"/>
          </w:tblCellMar>
        </w:tblPrEx>
        <w:trPr>
          <w:cantSplit/>
          <w:tblHeader/>
        </w:trPr>
        <w:tc>
          <w:tcPr>
            <w:tcW w:w="15159" w:type="dxa"/>
            <w:gridSpan w:val="10"/>
            <w:noWrap w:val="0"/>
            <w:tcMar>
              <w:top w:w="20" w:type="dxa"/>
              <w:left w:w="108" w:type="dxa"/>
              <w:bottom w:w="20" w:type="dxa"/>
              <w:right w:w="108" w:type="dxa"/>
            </w:tcMar>
            <w:vAlign w:val="center"/>
          </w:tcPr>
          <w:p w14:paraId="553F7C2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注：本表反映单位本年度各项支出情况。</w:t>
            </w:r>
          </w:p>
        </w:tc>
      </w:tr>
    </w:tbl>
    <w:p w14:paraId="6220BBED">
      <w:pPr>
        <w:sectPr>
          <w:footerReference r:id="rId10" w:type="default"/>
          <w:pgSz w:w="16383" w:h="11906" w:orient="landscape"/>
          <w:pgMar w:top="1134" w:right="720" w:bottom="1134" w:left="720" w:header="720" w:footer="720" w:gutter="0"/>
          <w:cols w:space="720" w:num="1"/>
        </w:sectPr>
      </w:pPr>
    </w:p>
    <w:p w14:paraId="1D13E228">
      <w:pPr>
        <w:pStyle w:val="28"/>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14B39CD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086"/>
      <w:bookmarkStart w:id="50" w:name="_Toc256000008"/>
      <w:bookmarkStart w:id="51" w:name="_Toc256000035"/>
      <w:bookmarkStart w:id="52" w:name="_Toc256000140"/>
      <w:bookmarkStart w:id="53" w:name="_Toc256000113"/>
      <w:bookmarkStart w:id="54" w:name="_Toc256000062"/>
      <w:r>
        <w:rPr>
          <w:rFonts w:ascii="黑体" w:hAnsi="黑体" w:eastAsia="黑体" w:cs="黑体"/>
          <w:b w:val="0"/>
          <w:bCs w:val="0"/>
          <w:spacing w:val="0"/>
        </w:rPr>
        <w:t>四、财政拨款收入支出决算总表</w:t>
      </w:r>
      <w:bookmarkEnd w:id="49"/>
      <w:bookmarkEnd w:id="50"/>
      <w:bookmarkEnd w:id="51"/>
      <w:bookmarkEnd w:id="52"/>
      <w:bookmarkEnd w:id="53"/>
      <w:bookmarkEnd w:id="54"/>
    </w:p>
    <w:p w14:paraId="122A876D">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78AFF0B6">
        <w:tblPrEx>
          <w:tblCellMar>
            <w:top w:w="0" w:type="dxa"/>
            <w:left w:w="108" w:type="dxa"/>
            <w:bottom w:w="0" w:type="dxa"/>
            <w:right w:w="108" w:type="dxa"/>
          </w:tblCellMar>
        </w:tblPrEx>
        <w:trPr>
          <w:cantSplit/>
          <w:tblHeader/>
        </w:trPr>
        <w:tc>
          <w:tcPr>
            <w:tcW w:w="16381" w:type="dxa"/>
            <w:gridSpan w:val="7"/>
            <w:noWrap w:val="0"/>
            <w:tcMar>
              <w:top w:w="20" w:type="dxa"/>
              <w:left w:w="108" w:type="dxa"/>
              <w:bottom w:w="20" w:type="dxa"/>
              <w:right w:w="108" w:type="dxa"/>
            </w:tcMar>
            <w:vAlign w:val="center"/>
          </w:tcPr>
          <w:p w14:paraId="4908D13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4959B71F">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7B1491F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869BEC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AC875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53595E30">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5DB178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编制单位：莆田市荔城区镇海街道综合便民服务中心</w:t>
            </w:r>
          </w:p>
        </w:tc>
        <w:tc>
          <w:tcPr>
            <w:tcW w:w="21600" w:type="dxa"/>
            <w:noWrap w:val="0"/>
            <w:tcMar>
              <w:top w:w="20" w:type="dxa"/>
              <w:left w:w="108" w:type="dxa"/>
              <w:bottom w:w="20" w:type="dxa"/>
              <w:right w:w="108" w:type="dxa"/>
            </w:tcMar>
            <w:vAlign w:val="bottom"/>
          </w:tcPr>
          <w:p w14:paraId="22BA416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9A273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E0E7B87">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423A1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23994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78255F9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F84D6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2704B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9D02D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755CF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EDBD7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F887B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D5236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0781600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1E98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00CC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A24A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E402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8F68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FF84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3AD3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1319B1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8D92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499C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81FB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224E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0613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2377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15F7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3E77D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9E8C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41DF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4595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1C76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DB91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1CA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2545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389EF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5045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A6C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32DE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7FC5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8659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6EBE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6EEE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0E403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376D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2B2B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1FFA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091C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DFF3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42E1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DEB4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D5E8A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962A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F6DF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5D82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7DAD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AB2C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A57D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5EAE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E3B9E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275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9B08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9591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7857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8AFE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7051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EDCF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CD27E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94EA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6F63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1E70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6F4A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3EC7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5744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1819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D7C5A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9E69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91F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D072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CC43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29F1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85D7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4E6A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94FB1E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DD34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CCD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D0F1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3079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9756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2330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E3B4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73541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E95D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BB43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E337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D8A7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2731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7F85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868C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BB9E2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228C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98AD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3200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1DF2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062F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8D7C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AC8A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B80AC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7396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5AE8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9F6B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EF14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99AA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D98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397B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AF42D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3C9E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B710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B05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8F5A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1E9B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A973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B891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41D8B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96E2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C0BD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2262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FCF1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30A0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429C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2E8E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1BB0C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4C88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4414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F68C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5E45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FE36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B47E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B3ED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09F59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4E6E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EF72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52A6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2912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45AD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84E9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FCBC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730EA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B70F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CBD1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5785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688D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132D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53C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2534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81B71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B37A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65A3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D98A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1297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071D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8761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EBCC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732B7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5F33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3C88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C614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3B31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E8CD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61CE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F064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D19BF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682C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BB0B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8A85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70C7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E429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DA3E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AEB4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A1CB2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2823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FA88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D8EC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6B8E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16D0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AE1A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4325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9AF113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7881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77A9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7DEC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1D09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D910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FB95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F21A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B6346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A146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11EA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1895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54B2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939A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733F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6DB7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94B028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8F0F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F3EE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7503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1DC5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2CCF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9EA0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626F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BB2F63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B8DB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23B1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8E9F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D0D6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E6A6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9BF2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0265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16218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34124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D75F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39179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61CD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6E6B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978C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469A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A34EF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913F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9513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AC51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C791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7097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22A4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D04A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6966BA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FEDA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61EB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3324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9E89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52CA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2CDE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237D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6AA7BF6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824C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C73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A62D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830A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705E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BA00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6038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4A04056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526B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3993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ED3B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EA0B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4CC1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D3D7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D328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687A47E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BAF97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78EC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52F45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884E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B87C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244A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1230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896A21">
        <w:tblPrEx>
          <w:tblCellMar>
            <w:top w:w="0" w:type="dxa"/>
            <w:left w:w="108" w:type="dxa"/>
            <w:bottom w:w="0" w:type="dxa"/>
            <w:right w:w="108" w:type="dxa"/>
          </w:tblCellMar>
        </w:tblPrEx>
        <w:trPr>
          <w:cantSplit/>
        </w:trPr>
        <w:tc>
          <w:tcPr>
            <w:tcW w:w="16381" w:type="dxa"/>
            <w:gridSpan w:val="7"/>
            <w:noWrap w:val="0"/>
            <w:tcMar>
              <w:top w:w="20" w:type="dxa"/>
              <w:left w:w="108" w:type="dxa"/>
              <w:bottom w:w="20" w:type="dxa"/>
              <w:right w:w="108" w:type="dxa"/>
            </w:tcMar>
            <w:vAlign w:val="center"/>
          </w:tcPr>
          <w:p w14:paraId="3FFEF77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注：本表反映单位本年度一般公共预算财政拨款、政府性基金预算财政拨款和国有资本经营预算财政拨款的总收支和年末结转结余情况。</w:t>
            </w:r>
          </w:p>
        </w:tc>
      </w:tr>
    </w:tbl>
    <w:p w14:paraId="36A4F68C">
      <w:pPr>
        <w:sectPr>
          <w:footerReference r:id="rId11" w:type="default"/>
          <w:pgSz w:w="16383" w:h="11906" w:orient="landscape"/>
          <w:pgMar w:top="1134" w:right="720" w:bottom="1134" w:left="720" w:header="720" w:footer="720" w:gutter="0"/>
          <w:cols w:space="720" w:num="1"/>
        </w:sectPr>
      </w:pPr>
    </w:p>
    <w:p w14:paraId="6E08B02F">
      <w:pPr>
        <w:pStyle w:val="28"/>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7081FEE9">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036"/>
      <w:bookmarkStart w:id="56" w:name="_Toc256000141"/>
      <w:bookmarkStart w:id="57" w:name="_Toc256000009"/>
      <w:bookmarkStart w:id="58" w:name="_Toc256000087"/>
      <w:bookmarkStart w:id="59" w:name="_Toc256000063"/>
      <w:bookmarkStart w:id="60" w:name="_Toc256000114"/>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14:paraId="5B81372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19"/>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14:paraId="75335C2A">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2CE7C57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4150AA90">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14:paraId="2B36F85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A2EC8F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6D91D8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129E88F7">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14:paraId="7485FD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编制单位：莆田市荔城区镇海街道综合便民服务中心</w:t>
            </w:r>
          </w:p>
        </w:tc>
        <w:tc>
          <w:tcPr>
            <w:tcW w:w="21600" w:type="dxa"/>
            <w:gridSpan w:val="2"/>
            <w:noWrap w:val="0"/>
            <w:tcMar>
              <w:top w:w="20" w:type="dxa"/>
              <w:left w:w="108" w:type="dxa"/>
              <w:bottom w:w="20" w:type="dxa"/>
              <w:right w:w="108" w:type="dxa"/>
            </w:tcMar>
            <w:vAlign w:val="center"/>
          </w:tcPr>
          <w:p w14:paraId="345C7A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2AD7259">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85C87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A55C7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678D4003">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5D603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29CD0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9186A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F27C2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DF067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130CD5BD">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51D4D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0B090B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2A5C62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D7F732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A4C22D0">
            <w:pPr>
              <w:rPr>
                <w:rFonts w:ascii="Times New Roman" w:hAnsi="Times New Roman" w:eastAsia="Times New Roman" w:cs="Times New Roman"/>
                <w:b w:val="0"/>
                <w:bCs w:val="0"/>
                <w:i w:val="0"/>
                <w:iCs w:val="0"/>
                <w:smallCaps w:val="0"/>
                <w:color w:val="000000"/>
                <w:kern w:val="0"/>
                <w:sz w:val="26"/>
                <w:szCs w:val="26"/>
              </w:rPr>
            </w:pPr>
          </w:p>
        </w:tc>
      </w:tr>
      <w:tr w14:paraId="57907D98">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DDC78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9453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0A6C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9571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6496E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C94F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012D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053D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4045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F1EF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81A61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AA02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4FB9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4CAE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4C3C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47DA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D5207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8293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B44F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C68C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E546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77AA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5D16D4">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2AF8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A881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0782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A6FF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2C6F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8AB7A2">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8C69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C454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7C27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57A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2982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7BC0B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3ABC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AB12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事业单位离退休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6350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AEC2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0CF8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AF0442">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68A0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E005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16BB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EA40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6F28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F46BF1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B0A5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0261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C29C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5600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8379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A0C1F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738F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32F8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F393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EBA5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8C99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1523663">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DAD4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AB4B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7B76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8861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6D37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7526E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09A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0304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C55A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3E95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B155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88F11F">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5094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74F0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F2BE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FB82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B509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C6DD5A0">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CABC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E333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3440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549F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7C36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CB75B6">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7EDAC04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w:t>
            </w:r>
            <w:r>
              <w:rPr>
                <w:rFonts w:hint="eastAsia" w:ascii="宋体" w:hAnsi="宋体" w:cs="宋体"/>
                <w:b w:val="0"/>
                <w:bCs w:val="0"/>
                <w:i w:val="0"/>
                <w:iCs w:val="0"/>
                <w:smallCaps w:val="0"/>
                <w:color w:val="000000"/>
                <w:kern w:val="0"/>
                <w:sz w:val="21"/>
                <w:szCs w:val="26"/>
                <w:lang w:val="en-US" w:eastAsia="zh-CN"/>
              </w:rPr>
              <w:t>1.</w:t>
            </w:r>
            <w:r>
              <w:rPr>
                <w:rFonts w:ascii="宋体" w:hAnsi="宋体" w:eastAsia="宋体" w:cs="宋体"/>
                <w:b w:val="0"/>
                <w:bCs w:val="0"/>
                <w:i w:val="0"/>
                <w:iCs w:val="0"/>
                <w:smallCaps w:val="0"/>
                <w:color w:val="000000"/>
                <w:kern w:val="0"/>
                <w:sz w:val="21"/>
                <w:szCs w:val="26"/>
              </w:rPr>
              <w:t>本表反映单位本年度一般公共预算财政拨款支出情况。</w:t>
            </w:r>
          </w:p>
        </w:tc>
      </w:tr>
    </w:tbl>
    <w:p w14:paraId="3B6FEE6D">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3"/>
          <w:szCs w:val="23"/>
        </w:rPr>
        <w:t>2.没有一般公共预算财政拨款支出请在表格中填“0”，并说明“本单位2024年度没有使用一般公共预算财政拨款安排的支出。</w:t>
      </w:r>
    </w:p>
    <w:p w14:paraId="5C079359">
      <w:pPr>
        <w:sectPr>
          <w:footerReference r:id="rId12" w:type="default"/>
          <w:pgSz w:w="16383" w:h="11906" w:orient="landscape"/>
          <w:pgMar w:top="1134" w:right="720" w:bottom="1134" w:left="720" w:header="720" w:footer="720" w:gutter="0"/>
          <w:cols w:space="720" w:num="1"/>
        </w:sectPr>
      </w:pPr>
    </w:p>
    <w:p w14:paraId="72159C17">
      <w:pPr>
        <w:pStyle w:val="28"/>
        <w:widowControl/>
        <w:spacing w:before="100" w:after="100"/>
        <w:ind w:left="100" w:right="100" w:firstLine="0"/>
        <w:jc w:val="left"/>
        <w:rPr>
          <w:rFonts w:ascii="Times New Roman" w:hAnsi="Times New Roman" w:eastAsia="Times New Roman" w:cs="Times New Roman"/>
          <w:kern w:val="0"/>
          <w:sz w:val="24"/>
        </w:rPr>
      </w:pPr>
    </w:p>
    <w:p w14:paraId="6A0FEAF4">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088"/>
      <w:bookmarkStart w:id="62" w:name="_Toc256000010"/>
      <w:bookmarkStart w:id="63" w:name="_Toc256000115"/>
      <w:bookmarkStart w:id="64" w:name="_Toc256000037"/>
      <w:bookmarkStart w:id="65" w:name="_Toc256000064"/>
      <w:bookmarkStart w:id="66" w:name="_Toc256000142"/>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14:paraId="39ADE29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4C59B120">
        <w:tblPrEx>
          <w:tblCellMar>
            <w:top w:w="0" w:type="dxa"/>
            <w:left w:w="108" w:type="dxa"/>
            <w:bottom w:w="0" w:type="dxa"/>
            <w:right w:w="108" w:type="dxa"/>
          </w:tblCellMar>
        </w:tblPrEx>
        <w:trPr>
          <w:cantSplit/>
          <w:tblHeader/>
        </w:trPr>
        <w:tc>
          <w:tcPr>
            <w:tcW w:w="16377" w:type="dxa"/>
            <w:gridSpan w:val="9"/>
            <w:noWrap w:val="0"/>
            <w:tcMar>
              <w:top w:w="20" w:type="dxa"/>
              <w:left w:w="108" w:type="dxa"/>
              <w:bottom w:w="20" w:type="dxa"/>
              <w:right w:w="108" w:type="dxa"/>
            </w:tcMar>
            <w:vAlign w:val="center"/>
          </w:tcPr>
          <w:p w14:paraId="047C78FE">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348C3A07">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6ED625D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36473F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C9EC7B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0320D1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05019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3692C327">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14:paraId="70C137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编制单位：莆田市荔城区镇海街道综合便民服务中心</w:t>
            </w:r>
          </w:p>
        </w:tc>
        <w:tc>
          <w:tcPr>
            <w:tcW w:w="21600" w:type="dxa"/>
            <w:noWrap w:val="0"/>
            <w:tcMar>
              <w:top w:w="20" w:type="dxa"/>
              <w:left w:w="108" w:type="dxa"/>
              <w:bottom w:w="20" w:type="dxa"/>
              <w:right w:w="108" w:type="dxa"/>
            </w:tcMar>
            <w:vAlign w:val="bottom"/>
          </w:tcPr>
          <w:p w14:paraId="3194E0C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685755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392F4BA2">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48FE9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05163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6C1BB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BE5C0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6B087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FCCEB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A6B0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AD346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393BA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15E92E86">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5FBA4B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2FCBCB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8FB5AA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55390F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EDC22E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4C4E0E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EC3CB1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85ABA2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12BFFC4">
            <w:pPr>
              <w:rPr>
                <w:rFonts w:ascii="Times New Roman" w:hAnsi="Times New Roman" w:eastAsia="Times New Roman" w:cs="Times New Roman"/>
                <w:b w:val="0"/>
                <w:bCs w:val="0"/>
                <w:i w:val="0"/>
                <w:iCs w:val="0"/>
                <w:smallCaps w:val="0"/>
                <w:color w:val="000000"/>
                <w:kern w:val="0"/>
                <w:sz w:val="26"/>
                <w:szCs w:val="26"/>
              </w:rPr>
            </w:pPr>
          </w:p>
        </w:tc>
      </w:tr>
      <w:tr w14:paraId="06AF346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BE0F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CD46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F851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265.87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0375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67D5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9B50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7EE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BA64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CCE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F5933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2EEA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A5EB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4879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73.45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267D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A5C9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52C6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EBB0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8FF3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E027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D2C4B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ACF8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36BA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1B75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59C0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8AF2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673E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01A0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F9CC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33D0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DA835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07CD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4B94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97E0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64.48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A2D9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B3C1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5CC3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9E45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7793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AE5E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9D62DA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4B75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4D17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B431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9B5C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6460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993E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D8C9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FA9C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0EDC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63F28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DA0B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180E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2035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1409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3EB7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F966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E1CF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486B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9B61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940DC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2EB1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3076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AB52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30.67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EF77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73FA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D3C5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5B2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40CA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A72E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94E5B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1944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F2D8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9A2B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A2C2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13FD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8948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B8B7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17CF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74E4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FB5AB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8A7C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C63A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D1FE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9.57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BFB5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AC63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DC3E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DED8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C2F4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0DAA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A9BCC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0960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6219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B4BC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95B4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7FE2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C449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6546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FB8C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1653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B8556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C428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3A5F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45BA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0.56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6AFB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5C70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6502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ABED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39B6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4A9A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83143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39EE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25D6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E21E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D135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DB4A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FC6A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07C4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CE65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2A6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EC2C8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4DF1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FADC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FA45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2450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C63D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C330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6763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4B39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A26B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9F51B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AEAE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5B10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B89D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21B5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C9C4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1A6C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5B36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C04E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A303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F1977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28B2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E5B6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0C12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BE92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389E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6240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3122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ED55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C980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FE290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68E7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6EE6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2515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4876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2F8D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B226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6FCC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F39D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DED0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BAE14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4D62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9F76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19B8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95C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8F25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21ED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A681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2809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F1FB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631ED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176E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9B39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BA05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79B1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B109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A376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9F7E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147A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113B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5DBAC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A9D8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9945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1905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FF4D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D072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E93E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12BF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D4EB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288E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9C5A0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1697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30A4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9086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FEC8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DF3D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8C1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12C6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E753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F641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03A9EC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2D3D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51CB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893D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4E3F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90CA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427B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96FE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40CE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5456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EA94D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3F0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BF9D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5711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CF53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5819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BB6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ABEA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B0EB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DCB9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A5AF3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DA99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84BC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F1B5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660C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E8C7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1E88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43F2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08C9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253B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B0C72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B9C2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025F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81CE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74F6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780A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EA14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9D70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3D98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5EC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A87C2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DD3A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6068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793B7F">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3579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BA44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AF49F0">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ACC5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14EF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5935E9">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3E00584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676F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1DA9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1EDC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747D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63B1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CA22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032C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2838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1B7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20F64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140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CDB4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B309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7CE3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F923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96C4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33EB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7DAF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5902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62D05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ABE5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F512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B10E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3E82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ACFE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3755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8BDC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868A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6976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9364A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C470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5264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B1C7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3443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F33A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C363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95E1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B31C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03C4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62751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37B7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FBCF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13C9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7277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AC84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367B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D88F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6F97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DA66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037E1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D547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5AA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6F60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AACC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4A85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CB8D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CAB5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CD6E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6844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1ECC29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09FA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6468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BDE3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1946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B79F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93B8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0658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ADFB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7537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7C712508">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587BB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E3A3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277.14</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1510F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5775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87AB624">
        <w:tblPrEx>
          <w:tblCellMar>
            <w:top w:w="0" w:type="dxa"/>
            <w:left w:w="108" w:type="dxa"/>
            <w:bottom w:w="0" w:type="dxa"/>
            <w:right w:w="108" w:type="dxa"/>
          </w:tblCellMar>
        </w:tblPrEx>
        <w:trPr>
          <w:cantSplit/>
        </w:trPr>
        <w:tc>
          <w:tcPr>
            <w:tcW w:w="16377" w:type="dxa"/>
            <w:gridSpan w:val="9"/>
            <w:noWrap w:val="0"/>
            <w:tcMar>
              <w:top w:w="20" w:type="dxa"/>
              <w:left w:w="108" w:type="dxa"/>
              <w:bottom w:w="20" w:type="dxa"/>
              <w:right w:w="108" w:type="dxa"/>
            </w:tcMar>
            <w:vAlign w:val="center"/>
          </w:tcPr>
          <w:p w14:paraId="1AA3D0C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w:t>
            </w:r>
            <w:r>
              <w:rPr>
                <w:rFonts w:hint="eastAsia" w:ascii="宋体" w:hAnsi="宋体" w:cs="宋体"/>
                <w:b w:val="0"/>
                <w:bCs w:val="0"/>
                <w:i w:val="0"/>
                <w:iCs w:val="0"/>
                <w:smallCaps w:val="0"/>
                <w:color w:val="000000"/>
                <w:kern w:val="0"/>
                <w:sz w:val="21"/>
                <w:szCs w:val="26"/>
                <w:lang w:val="en-US" w:eastAsia="zh-CN"/>
              </w:rPr>
              <w:t>1.</w:t>
            </w:r>
            <w:r>
              <w:rPr>
                <w:rFonts w:ascii="宋体" w:hAnsi="宋体" w:eastAsia="宋体" w:cs="宋体"/>
                <w:b w:val="0"/>
                <w:bCs w:val="0"/>
                <w:i w:val="0"/>
                <w:iCs w:val="0"/>
                <w:smallCaps w:val="0"/>
                <w:color w:val="000000"/>
                <w:kern w:val="0"/>
                <w:sz w:val="21"/>
                <w:szCs w:val="26"/>
              </w:rPr>
              <w:t>本表反映单位本年度一般公共预算财政拨款基本支出明细情况。</w:t>
            </w:r>
          </w:p>
        </w:tc>
      </w:tr>
    </w:tbl>
    <w:p w14:paraId="02F515A5">
      <w:pPr>
        <w:sectPr>
          <w:footerReference r:id="rId13" w:type="default"/>
          <w:pgSz w:w="16383" w:h="11906" w:orient="landscape"/>
          <w:pgMar w:top="1134" w:right="720" w:bottom="1134" w:left="720" w:header="720" w:footer="720" w:gutter="0"/>
          <w:cols w:space="720" w:num="1"/>
        </w:sectPr>
      </w:pPr>
      <w:r>
        <w:rPr>
          <w:rFonts w:ascii="Times New Roman" w:hAnsi="Times New Roman" w:eastAsia="Times New Roman" w:cs="Times New Roman"/>
          <w:spacing w:val="0"/>
          <w:kern w:val="0"/>
          <w:sz w:val="23"/>
          <w:szCs w:val="23"/>
        </w:rPr>
        <w:t>2.没有一般公共预算财政基本支出请在表格中填“0”，并说明“本单位2024年度没有使用一般公共预算财政安排的基本支出。</w:t>
      </w:r>
    </w:p>
    <w:p w14:paraId="2625F707">
      <w:pPr>
        <w:pStyle w:val="28"/>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3"/>
          <w:szCs w:val="23"/>
        </w:rPr>
        <w:t xml:space="preserve">    </w:t>
      </w:r>
    </w:p>
    <w:p w14:paraId="0C9EC14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p>
    <w:p w14:paraId="133BC923">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090"/>
      <w:bookmarkStart w:id="68" w:name="_Toc256000066"/>
      <w:bookmarkStart w:id="69" w:name="_Toc256000012"/>
      <w:bookmarkStart w:id="70" w:name="_Toc256000144"/>
      <w:bookmarkStart w:id="71" w:name="_Toc256000117"/>
      <w:bookmarkStart w:id="72" w:name="_Toc256000039"/>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14:paraId="1A5B636C">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5053"/>
        <w:gridCol w:w="5053"/>
        <w:gridCol w:w="5053"/>
      </w:tblGrid>
      <w:tr w14:paraId="4F457C1E">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14:paraId="532FCF8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7E6C1FE7">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6888A17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59CD78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49B28C70">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14:paraId="1078EA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编制单位：莆田市荔城区镇海街道综合便民服务中心</w:t>
            </w:r>
          </w:p>
        </w:tc>
        <w:tc>
          <w:tcPr>
            <w:tcW w:w="21600" w:type="dxa"/>
            <w:noWrap w:val="0"/>
            <w:tcMar>
              <w:top w:w="20" w:type="dxa"/>
              <w:left w:w="108" w:type="dxa"/>
              <w:bottom w:w="20" w:type="dxa"/>
              <w:right w:w="108" w:type="dxa"/>
            </w:tcMar>
            <w:vAlign w:val="center"/>
          </w:tcPr>
          <w:p w14:paraId="6A0F5A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B562A1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CFBBB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AEE4B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E01BA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2275955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33578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A12B2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B8A0D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E8352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7346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27103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5EFDC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7134B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DFDF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8459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AB5C4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DF0EA6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D0E5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812CD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9B662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819F1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76EA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DB1C0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C2B88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B077F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B018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4CC9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03264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3E3854">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3FC0A28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注：1.本表反映单位本年度“三公”经费支出决算情况，包括当年一般公共预算财政拨款和以前年度结转资金安排的实际支出。</w:t>
            </w:r>
          </w:p>
        </w:tc>
      </w:tr>
      <w:tr w14:paraId="3EF6909B">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24ADC459">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2.本单位2024年度没有使用一般公共预算财政拨款安排的“三公”经费支出</w:t>
            </w:r>
          </w:p>
        </w:tc>
      </w:tr>
    </w:tbl>
    <w:p w14:paraId="1CA3ED94">
      <w:pPr>
        <w:pStyle w:val="29"/>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spacing w:val="0"/>
          <w:kern w:val="0"/>
          <w:sz w:val="24"/>
        </w:rPr>
        <w:t>3</w:t>
      </w:r>
      <w:r>
        <w:rPr>
          <w:rFonts w:ascii="宋体" w:hAnsi="宋体" w:cs="宋体"/>
          <w:b w:val="0"/>
          <w:bCs w:val="0"/>
          <w:spacing w:val="0"/>
          <w:kern w:val="0"/>
          <w:sz w:val="23"/>
          <w:szCs w:val="23"/>
        </w:rPr>
        <w:t>.没有一般公共预算财政拨款“三公”经费支出请在表格中填“0”。</w:t>
      </w:r>
    </w:p>
    <w:p w14:paraId="40C0A616">
      <w:pPr>
        <w:sectPr>
          <w:footerReference r:id="rId14" w:type="default"/>
          <w:pgSz w:w="16383" w:h="11906" w:orient="landscape"/>
          <w:pgMar w:top="1134" w:right="720" w:bottom="1134" w:left="720" w:header="720" w:footer="720" w:gutter="0"/>
          <w:cols w:space="720" w:num="1"/>
        </w:sectPr>
      </w:pPr>
    </w:p>
    <w:p w14:paraId="415F09EA">
      <w:pPr>
        <w:pStyle w:val="29"/>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spacing w:val="0"/>
          <w:kern w:val="0"/>
          <w:sz w:val="24"/>
        </w:rPr>
        <w:t> </w:t>
      </w:r>
    </w:p>
    <w:p w14:paraId="06A05BA4">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013"/>
      <w:bookmarkStart w:id="74" w:name="_Toc256000067"/>
      <w:bookmarkStart w:id="75" w:name="_Toc256000040"/>
      <w:bookmarkStart w:id="76" w:name="_Toc256000145"/>
      <w:bookmarkStart w:id="77" w:name="_Toc256000118"/>
      <w:bookmarkStart w:id="78" w:name="_Toc256000091"/>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14:paraId="55CD374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40563833">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5FFB71D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10CAFB52">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7C6E223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59F974B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9C7417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0E5F8F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ADE029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0FC8A1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BC44F6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BF0FFF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5F06A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12E03A5F">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1204FA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编制单位：莆田市荔城区镇海街道综合便民服务中心</w:t>
            </w:r>
          </w:p>
        </w:tc>
        <w:tc>
          <w:tcPr>
            <w:tcW w:w="21600" w:type="dxa"/>
            <w:noWrap w:val="0"/>
            <w:tcMar>
              <w:top w:w="20" w:type="dxa"/>
              <w:left w:w="108" w:type="dxa"/>
              <w:bottom w:w="20" w:type="dxa"/>
              <w:right w:w="108" w:type="dxa"/>
            </w:tcMar>
            <w:vAlign w:val="bottom"/>
          </w:tcPr>
          <w:p w14:paraId="441D2BB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FF70E3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4219DB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C89F36E">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4F78A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07A75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8119F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639B6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C3780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72DE5DAE">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39D1A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07F30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41FFBA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3975CDA">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B1CFD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2C210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E2CCD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21D1964">
            <w:pPr>
              <w:rPr>
                <w:rFonts w:ascii="Times New Roman" w:hAnsi="Times New Roman" w:eastAsia="Times New Roman" w:cs="Times New Roman"/>
                <w:b w:val="0"/>
                <w:bCs w:val="0"/>
                <w:i w:val="0"/>
                <w:iCs w:val="0"/>
                <w:smallCaps w:val="0"/>
                <w:color w:val="000000"/>
                <w:kern w:val="0"/>
                <w:sz w:val="26"/>
                <w:szCs w:val="26"/>
              </w:rPr>
            </w:pPr>
          </w:p>
        </w:tc>
      </w:tr>
      <w:tr w14:paraId="42178818">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FD8B32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1C6A02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D04606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934492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B651DB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9D91B7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A061EE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894293A">
            <w:pPr>
              <w:rPr>
                <w:rFonts w:ascii="Times New Roman" w:hAnsi="Times New Roman" w:eastAsia="Times New Roman" w:cs="Times New Roman"/>
                <w:b w:val="0"/>
                <w:bCs w:val="0"/>
                <w:i w:val="0"/>
                <w:iCs w:val="0"/>
                <w:smallCaps w:val="0"/>
                <w:color w:val="000000"/>
                <w:kern w:val="0"/>
                <w:sz w:val="26"/>
                <w:szCs w:val="26"/>
              </w:rPr>
            </w:pPr>
          </w:p>
        </w:tc>
      </w:tr>
      <w:tr w14:paraId="0BF05195">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B84CE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AAB25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2984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4A04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CA57B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242AC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9528D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AEB7A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0E6DE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890A5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5DC00305">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0BEB2E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B09301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A21760D">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34CD2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06C8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B574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A6D2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A29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1A28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7C83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B5D92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D6A6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5C3A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66C1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61B5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D8A0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36F4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E94D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882F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73F3795E">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16A01210">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注：1.本表反映单位本年度政府性基金预算财政拨款收入、支出及结转和结余情况。</w:t>
            </w:r>
          </w:p>
        </w:tc>
      </w:tr>
      <w:tr w14:paraId="4F3656FB">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22490A3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2.本单位2024年度没有使用政府性基金预算财政拨款安排的收支</w:t>
            </w:r>
          </w:p>
        </w:tc>
      </w:tr>
    </w:tbl>
    <w:p w14:paraId="2A82AD26">
      <w:pPr>
        <w:sectPr>
          <w:footerReference r:id="rId15" w:type="default"/>
          <w:pgSz w:w="16383" w:h="11906" w:orient="landscape"/>
          <w:pgMar w:top="1134" w:right="720" w:bottom="1134" w:left="720" w:header="720" w:footer="720" w:gutter="0"/>
          <w:cols w:space="720" w:num="1"/>
        </w:sectPr>
      </w:pPr>
      <w:r>
        <w:rPr>
          <w:rFonts w:ascii="宋体" w:hAnsi="宋体" w:cs="宋体"/>
          <w:b w:val="0"/>
          <w:bCs w:val="0"/>
          <w:spacing w:val="0"/>
          <w:kern w:val="0"/>
          <w:sz w:val="24"/>
        </w:rPr>
        <w:t>3</w:t>
      </w:r>
      <w:r>
        <w:rPr>
          <w:rFonts w:ascii="宋体" w:hAnsi="宋体" w:cs="宋体"/>
          <w:b w:val="0"/>
          <w:bCs w:val="0"/>
          <w:spacing w:val="0"/>
          <w:kern w:val="0"/>
          <w:sz w:val="23"/>
          <w:szCs w:val="23"/>
        </w:rPr>
        <w:t>.没有政府性基金拨款支出的部门请在表格中填“0”。</w:t>
      </w:r>
    </w:p>
    <w:p w14:paraId="62579F22">
      <w:pPr>
        <w:pStyle w:val="28"/>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spacing w:val="0"/>
          <w:kern w:val="0"/>
          <w:sz w:val="24"/>
        </w:rPr>
        <w:t xml:space="preserve">  </w:t>
      </w:r>
    </w:p>
    <w:p w14:paraId="0B67AC89">
      <w:pPr>
        <w:pStyle w:val="28"/>
        <w:widowControl/>
        <w:spacing w:before="100" w:after="100"/>
        <w:ind w:left="100" w:right="100" w:firstLine="0"/>
        <w:jc w:val="left"/>
        <w:rPr>
          <w:rFonts w:ascii="Times New Roman" w:hAnsi="Times New Roman" w:eastAsia="Times New Roman" w:cs="Times New Roman"/>
          <w:b w:val="0"/>
          <w:bCs w:val="0"/>
          <w:kern w:val="0"/>
          <w:sz w:val="24"/>
        </w:rPr>
      </w:pPr>
    </w:p>
    <w:p w14:paraId="695C894A">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9" w:name="_Toc256000068"/>
      <w:bookmarkStart w:id="80" w:name="_Toc256000092"/>
      <w:bookmarkStart w:id="81" w:name="_Toc256000014"/>
      <w:bookmarkStart w:id="82" w:name="_Toc256000119"/>
      <w:bookmarkStart w:id="83" w:name="_Toc256000146"/>
      <w:bookmarkStart w:id="84" w:name="_Toc256000041"/>
      <w:r>
        <w:rPr>
          <w:rFonts w:ascii="黑体" w:hAnsi="黑体" w:eastAsia="黑体" w:cs="黑体"/>
          <w:b w:val="0"/>
          <w:bCs w:val="0"/>
          <w:spacing w:val="0"/>
        </w:rPr>
        <w:t>九、国有资本经营预算财政拨款支出决算表</w:t>
      </w:r>
      <w:bookmarkEnd w:id="79"/>
      <w:bookmarkEnd w:id="80"/>
      <w:bookmarkEnd w:id="81"/>
      <w:bookmarkEnd w:id="82"/>
      <w:bookmarkEnd w:id="83"/>
      <w:bookmarkEnd w:id="84"/>
    </w:p>
    <w:p w14:paraId="7BC04ED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19"/>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14:paraId="65C04C66">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745CDD53">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5F48362D">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1F2086A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6061F8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3DB693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75E990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66F9D2EA">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7B8174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编制单位：莆田市荔城区镇海街道综合便民服务中心</w:t>
            </w:r>
          </w:p>
        </w:tc>
        <w:tc>
          <w:tcPr>
            <w:tcW w:w="21600" w:type="dxa"/>
            <w:noWrap w:val="0"/>
            <w:tcMar>
              <w:top w:w="20" w:type="dxa"/>
              <w:left w:w="108" w:type="dxa"/>
              <w:bottom w:w="20" w:type="dxa"/>
              <w:right w:w="108" w:type="dxa"/>
            </w:tcMar>
            <w:vAlign w:val="center"/>
          </w:tcPr>
          <w:p w14:paraId="36F68C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2CF05E68">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7B68C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1C476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5AE5D7E0">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DD27F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9EF22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DF9CD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0BB78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A7069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6812CA34">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5ECBC1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1B3A05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8F8992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AA47DC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A39EE1A">
            <w:pPr>
              <w:rPr>
                <w:rFonts w:ascii="Times New Roman" w:hAnsi="Times New Roman" w:eastAsia="Times New Roman" w:cs="Times New Roman"/>
                <w:b w:val="0"/>
                <w:bCs w:val="0"/>
                <w:i w:val="0"/>
                <w:iCs w:val="0"/>
                <w:smallCaps w:val="0"/>
                <w:color w:val="000000"/>
                <w:kern w:val="0"/>
                <w:sz w:val="26"/>
                <w:szCs w:val="26"/>
              </w:rPr>
            </w:pPr>
          </w:p>
        </w:tc>
      </w:tr>
      <w:tr w14:paraId="48744593">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8C114C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7A2394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F85D06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32DC8A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F68E1A7">
            <w:pPr>
              <w:rPr>
                <w:rFonts w:ascii="Times New Roman" w:hAnsi="Times New Roman" w:eastAsia="Times New Roman" w:cs="Times New Roman"/>
                <w:b w:val="0"/>
                <w:bCs w:val="0"/>
                <w:i w:val="0"/>
                <w:iCs w:val="0"/>
                <w:smallCaps w:val="0"/>
                <w:color w:val="000000"/>
                <w:kern w:val="0"/>
                <w:sz w:val="26"/>
                <w:szCs w:val="26"/>
              </w:rPr>
            </w:pPr>
          </w:p>
        </w:tc>
      </w:tr>
      <w:tr w14:paraId="45C53CE3">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B32C3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56885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0E70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A9AB3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21B95BC2">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A3EC6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D8C2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DB04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FE50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3B9A2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5B8F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4AAB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487C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F494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219C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960CE8D">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3A0FCE3E">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注：1.本表反映单位本年度国有资本经营预算财政拨款支出情况</w:t>
            </w:r>
          </w:p>
        </w:tc>
      </w:tr>
      <w:tr w14:paraId="064E4851">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1CE4D6B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2.本单位2024年度没有使用国有资本经营预算财政拨款安排的支出</w:t>
            </w:r>
          </w:p>
        </w:tc>
      </w:tr>
    </w:tbl>
    <w:p w14:paraId="393146CC">
      <w:pPr>
        <w:sectPr>
          <w:footerReference r:id="rId16" w:type="default"/>
          <w:pgSz w:w="16383" w:h="11906" w:orient="landscape"/>
          <w:pgMar w:top="1134" w:right="720" w:bottom="1134" w:left="720" w:header="720" w:footer="720" w:gutter="0"/>
          <w:cols w:space="720" w:num="1"/>
        </w:sectPr>
      </w:pPr>
      <w:r>
        <w:rPr>
          <w:rFonts w:ascii="宋体" w:hAnsi="宋体" w:cs="宋体"/>
          <w:b w:val="0"/>
          <w:bCs w:val="0"/>
          <w:kern w:val="0"/>
          <w:sz w:val="24"/>
        </w:rPr>
        <w:t>3</w:t>
      </w:r>
      <w:r>
        <w:rPr>
          <w:rFonts w:ascii="宋体" w:hAnsi="宋体" w:cs="宋体"/>
          <w:b w:val="0"/>
          <w:bCs w:val="0"/>
          <w:kern w:val="0"/>
          <w:sz w:val="23"/>
          <w:szCs w:val="23"/>
        </w:rPr>
        <w:t>.没有国有资本经营预算财政拨款支出的部门请在表格中填“0”。</w:t>
      </w:r>
    </w:p>
    <w:p w14:paraId="63D16178">
      <w:pPr>
        <w:pStyle w:val="28"/>
        <w:widowControl/>
        <w:spacing w:before="100" w:after="100"/>
        <w:ind w:left="100" w:right="100" w:firstLine="0"/>
        <w:jc w:val="left"/>
        <w:rPr>
          <w:rFonts w:ascii="Times New Roman" w:hAnsi="Times New Roman" w:eastAsia="Times New Roman" w:cs="Times New Roman"/>
          <w:b w:val="0"/>
          <w:bCs w:val="0"/>
          <w:kern w:val="0"/>
          <w:sz w:val="24"/>
        </w:rPr>
      </w:pPr>
      <w:r>
        <w:rPr>
          <w:rFonts w:ascii="宋体" w:hAnsi="宋体" w:cs="宋体"/>
          <w:b w:val="0"/>
          <w:bCs w:val="0"/>
          <w:kern w:val="0"/>
          <w:sz w:val="24"/>
        </w:rPr>
        <w:t xml:space="preserve">  </w:t>
      </w:r>
    </w:p>
    <w:p w14:paraId="0F2F21DF">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3"/>
          <w:szCs w:val="23"/>
        </w:rPr>
        <w:t>  </w:t>
      </w:r>
    </w:p>
    <w:p w14:paraId="29FBDABC">
      <w:pPr>
        <w:pStyle w:val="29"/>
        <w:widowControl/>
        <w:spacing w:before="240" w:after="240"/>
        <w:jc w:val="left"/>
        <w:rPr>
          <w:rFonts w:ascii="Times New Roman" w:hAnsi="Times New Roman" w:eastAsia="Times New Roman" w:cs="Times New Roman"/>
          <w:kern w:val="0"/>
          <w:sz w:val="24"/>
        </w:rPr>
      </w:pPr>
      <w:r>
        <w:rPr>
          <w:rFonts w:ascii="黑体" w:hAnsi="黑体" w:eastAsia="黑体" w:cs="黑体"/>
          <w:spacing w:val="0"/>
          <w:kern w:val="0"/>
          <w:sz w:val="56"/>
          <w:szCs w:val="56"/>
        </w:rPr>
        <w:t> </w:t>
      </w:r>
    </w:p>
    <w:p w14:paraId="0713B018">
      <w:pPr>
        <w:pStyle w:val="29"/>
        <w:widowControl/>
        <w:spacing w:before="240" w:after="240"/>
        <w:jc w:val="left"/>
        <w:rPr>
          <w:rFonts w:ascii="Times New Roman" w:hAnsi="Times New Roman" w:eastAsia="Times New Roman" w:cs="Times New Roman"/>
          <w:kern w:val="0"/>
          <w:sz w:val="24"/>
        </w:rPr>
      </w:pPr>
    </w:p>
    <w:p w14:paraId="2AF94F1A">
      <w:pPr>
        <w:pStyle w:val="29"/>
        <w:widowControl/>
        <w:spacing w:before="240" w:after="240"/>
        <w:jc w:val="left"/>
        <w:rPr>
          <w:rFonts w:ascii="Times New Roman" w:hAnsi="Times New Roman" w:eastAsia="Times New Roman" w:cs="Times New Roman"/>
          <w:kern w:val="0"/>
          <w:sz w:val="24"/>
        </w:rPr>
      </w:pPr>
    </w:p>
    <w:p w14:paraId="3D154085">
      <w:pPr>
        <w:pStyle w:val="29"/>
        <w:widowControl/>
        <w:spacing w:before="240" w:after="240"/>
        <w:jc w:val="left"/>
        <w:rPr>
          <w:rFonts w:ascii="Times New Roman" w:hAnsi="Times New Roman" w:eastAsia="Times New Roman" w:cs="Times New Roman"/>
          <w:kern w:val="0"/>
          <w:sz w:val="24"/>
        </w:rPr>
      </w:pPr>
    </w:p>
    <w:p w14:paraId="334EE5D1">
      <w:pPr>
        <w:pStyle w:val="29"/>
        <w:widowControl/>
        <w:spacing w:before="240" w:after="240"/>
        <w:jc w:val="left"/>
        <w:rPr>
          <w:rFonts w:ascii="Times New Roman" w:hAnsi="Times New Roman" w:eastAsia="Times New Roman" w:cs="Times New Roman"/>
          <w:kern w:val="0"/>
          <w:sz w:val="24"/>
        </w:rPr>
      </w:pPr>
    </w:p>
    <w:p w14:paraId="1961B513">
      <w:pPr>
        <w:pStyle w:val="29"/>
        <w:widowControl/>
        <w:spacing w:before="240" w:after="240"/>
        <w:jc w:val="left"/>
        <w:rPr>
          <w:rFonts w:ascii="Times New Roman" w:hAnsi="Times New Roman" w:eastAsia="Times New Roman" w:cs="Times New Roman"/>
          <w:kern w:val="0"/>
          <w:sz w:val="24"/>
        </w:rPr>
      </w:pPr>
    </w:p>
    <w:p w14:paraId="66FF8837">
      <w:pPr>
        <w:pStyle w:val="29"/>
        <w:widowControl/>
        <w:spacing w:before="240" w:after="240"/>
        <w:jc w:val="left"/>
        <w:rPr>
          <w:rFonts w:ascii="Times New Roman" w:hAnsi="Times New Roman" w:eastAsia="Times New Roman" w:cs="Times New Roman"/>
          <w:kern w:val="0"/>
          <w:sz w:val="24"/>
        </w:rPr>
      </w:pPr>
    </w:p>
    <w:p w14:paraId="729128BD">
      <w:pPr>
        <w:pStyle w:val="29"/>
        <w:widowControl/>
        <w:spacing w:before="240" w:after="240"/>
        <w:jc w:val="left"/>
        <w:rPr>
          <w:rFonts w:ascii="Times New Roman" w:hAnsi="Times New Roman" w:eastAsia="Times New Roman" w:cs="Times New Roman"/>
          <w:kern w:val="0"/>
          <w:sz w:val="24"/>
        </w:rPr>
      </w:pPr>
    </w:p>
    <w:p w14:paraId="232D43EC">
      <w:pPr>
        <w:pStyle w:val="29"/>
        <w:widowControl/>
        <w:spacing w:before="240" w:after="240"/>
        <w:jc w:val="left"/>
        <w:rPr>
          <w:rFonts w:ascii="Times New Roman" w:hAnsi="Times New Roman" w:eastAsia="Times New Roman" w:cs="Times New Roman"/>
          <w:kern w:val="0"/>
          <w:sz w:val="24"/>
        </w:rPr>
      </w:pPr>
    </w:p>
    <w:p w14:paraId="5881741E">
      <w:pPr>
        <w:pStyle w:val="29"/>
        <w:widowControl/>
        <w:spacing w:before="240" w:after="240"/>
        <w:jc w:val="left"/>
        <w:rPr>
          <w:rFonts w:ascii="Times New Roman" w:hAnsi="Times New Roman" w:eastAsia="Times New Roman" w:cs="Times New Roman"/>
          <w:kern w:val="0"/>
          <w:sz w:val="24"/>
        </w:rPr>
      </w:pPr>
    </w:p>
    <w:p w14:paraId="5BA5AC31">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85" w:name="_Toc256000042"/>
      <w:bookmarkStart w:id="86" w:name="_Toc256000015"/>
      <w:bookmarkStart w:id="87" w:name="_Toc256000069"/>
      <w:bookmarkStart w:id="88" w:name="_Toc256000093"/>
      <w:bookmarkStart w:id="89" w:name="_Toc256000147"/>
      <w:bookmarkStart w:id="90" w:name="_Toc256000120"/>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2024年度单位决算情况说明</w:t>
      </w:r>
      <w:bookmarkEnd w:id="85"/>
      <w:bookmarkEnd w:id="86"/>
      <w:bookmarkEnd w:id="87"/>
      <w:bookmarkEnd w:id="88"/>
      <w:bookmarkEnd w:id="89"/>
      <w:bookmarkEnd w:id="90"/>
    </w:p>
    <w:p w14:paraId="421D0072">
      <w:pPr>
        <w:sectPr>
          <w:footerReference r:id="rId17" w:type="default"/>
          <w:pgSz w:w="11906" w:h="16838"/>
          <w:pgMar w:top="1440" w:right="720" w:bottom="1440" w:left="720" w:header="720" w:footer="720" w:gutter="0"/>
          <w:cols w:space="720" w:num="1"/>
        </w:sectPr>
      </w:pPr>
    </w:p>
    <w:p w14:paraId="5CA95A6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A0A69F1">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91" w:name="_Toc256000043"/>
      <w:bookmarkStart w:id="92" w:name="_Toc256000121"/>
      <w:bookmarkStart w:id="93" w:name="_Toc256000094"/>
      <w:bookmarkStart w:id="94" w:name="_Toc256000070"/>
      <w:bookmarkStart w:id="95" w:name="_Toc256000148"/>
      <w:bookmarkStart w:id="96" w:name="_Toc256000016"/>
      <w:r>
        <w:rPr>
          <w:rFonts w:ascii="黑体" w:hAnsi="黑体" w:eastAsia="黑体" w:cs="黑体"/>
          <w:b w:val="0"/>
          <w:bCs w:val="0"/>
          <w:spacing w:val="0"/>
        </w:rPr>
        <w:t>一、收入支出决算总体情况说明</w:t>
      </w:r>
      <w:bookmarkEnd w:id="91"/>
      <w:bookmarkEnd w:id="92"/>
      <w:bookmarkEnd w:id="93"/>
      <w:bookmarkEnd w:id="94"/>
      <w:bookmarkEnd w:id="95"/>
      <w:bookmarkEnd w:id="96"/>
    </w:p>
    <w:p w14:paraId="610CEFA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14:paraId="56DC576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2024年度本单位收入总计277.14万元，支出总计277.14万元，与上年决算数相比，各增加22.14万元，各</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8.68%。主要是本年度人员增加及运行经费增加.</w:t>
      </w:r>
    </w:p>
    <w:p w14:paraId="6FE47D0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14:paraId="2D8635B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2024年度收入277.14万元，比上年决算数</w:t>
      </w:r>
      <w:r>
        <w:rPr>
          <w:rFonts w:ascii="仿宋_GB2312" w:hAnsi="仿宋_GB2312" w:eastAsia="仿宋_GB2312" w:cs="仿宋_GB2312"/>
          <w:kern w:val="0"/>
          <w:sz w:val="32"/>
          <w:szCs w:val="32"/>
        </w:rPr>
        <w:t>增加</w:t>
      </w:r>
      <w:r>
        <w:rPr>
          <w:rFonts w:ascii="仿宋_GB2312" w:hAnsi="仿宋_GB2312" w:eastAsia="仿宋_GB2312" w:cs="仿宋_GB2312"/>
          <w:spacing w:val="0"/>
          <w:kern w:val="0"/>
          <w:sz w:val="32"/>
          <w:szCs w:val="32"/>
        </w:rPr>
        <w:t>22.14万元，</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8.68%，具体情况如下：</w:t>
      </w:r>
    </w:p>
    <w:p w14:paraId="1E388F1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1.一般公共预算财政拨款收入277.14万元。</w:t>
      </w:r>
    </w:p>
    <w:p w14:paraId="236B10D4">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2.政府性基金预算财政拨款收入0万元。</w:t>
      </w:r>
    </w:p>
    <w:p w14:paraId="0534F29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14:paraId="35B6E758">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14:paraId="4B23CA9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14:paraId="568599E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14:paraId="5741346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14:paraId="4158929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14:paraId="1B305A14">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14:paraId="3E1783D3">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2024年度支出277.14万元，比上年决算数增加22.14万元，增长8.68%，具体情况如下：</w:t>
      </w:r>
    </w:p>
    <w:p w14:paraId="31CB3AE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1.基本支出277.14万元。其中，人员支出277.14万元，公用支出0万元。</w:t>
      </w:r>
    </w:p>
    <w:p w14:paraId="7C23CE0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2.项目支出0万元。</w:t>
      </w:r>
    </w:p>
    <w:p w14:paraId="10CED61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14:paraId="1D49886B">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14:paraId="5090EBA8">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14:paraId="5C1D6913">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7" w:name="_Toc256000044"/>
      <w:bookmarkStart w:id="98" w:name="_Toc256000095"/>
      <w:bookmarkStart w:id="99" w:name="_Toc256000071"/>
      <w:bookmarkStart w:id="100" w:name="_Toc256000017"/>
      <w:bookmarkStart w:id="101" w:name="_Toc256000149"/>
      <w:bookmarkStart w:id="102" w:name="_Toc256000122"/>
      <w:r>
        <w:rPr>
          <w:rFonts w:ascii="黑体" w:hAnsi="黑体" w:eastAsia="黑体" w:cs="黑体"/>
          <w:b w:val="0"/>
          <w:bCs w:val="0"/>
          <w:spacing w:val="0"/>
        </w:rPr>
        <w:t>二、财政拨款收入支出决算总体情况说明</w:t>
      </w:r>
      <w:bookmarkEnd w:id="97"/>
      <w:bookmarkEnd w:id="98"/>
      <w:bookmarkEnd w:id="99"/>
      <w:bookmarkEnd w:id="100"/>
      <w:bookmarkEnd w:id="101"/>
      <w:bookmarkEnd w:id="102"/>
    </w:p>
    <w:p w14:paraId="307E8B10">
      <w:pPr>
        <w:pStyle w:val="29"/>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2024年度财政拨款收入总计277.14万元，支出总计277.14万元，与上年决算数相比，各增加22.14万元，增长8.68%，主要是：本年度人员增加及运行经费增加</w:t>
      </w:r>
      <w:r>
        <w:rPr>
          <w:rFonts w:hint="eastAsia" w:ascii="仿宋_GB2312" w:hAnsi="仿宋_GB2312" w:eastAsia="仿宋_GB2312" w:cs="仿宋_GB2312"/>
          <w:spacing w:val="0"/>
          <w:kern w:val="0"/>
          <w:sz w:val="32"/>
          <w:szCs w:val="32"/>
          <w:lang w:eastAsia="zh-CN"/>
        </w:rPr>
        <w:t>。</w:t>
      </w:r>
    </w:p>
    <w:p w14:paraId="0A7F3B7D">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045"/>
      <w:bookmarkStart w:id="104" w:name="_Toc256000123"/>
      <w:bookmarkStart w:id="105" w:name="_Toc256000072"/>
      <w:bookmarkStart w:id="106" w:name="_Toc256000096"/>
      <w:bookmarkStart w:id="107" w:name="_Toc256000150"/>
      <w:bookmarkStart w:id="108" w:name="_Toc256000018"/>
      <w:r>
        <w:rPr>
          <w:rFonts w:ascii="黑体" w:hAnsi="黑体" w:eastAsia="黑体" w:cs="黑体"/>
          <w:b w:val="0"/>
          <w:bCs w:val="0"/>
          <w:spacing w:val="0"/>
        </w:rPr>
        <w:t>三、一般公共预算财政拨款支出决算情况说明</w:t>
      </w:r>
      <w:bookmarkEnd w:id="103"/>
      <w:bookmarkEnd w:id="104"/>
      <w:bookmarkEnd w:id="105"/>
      <w:bookmarkEnd w:id="106"/>
      <w:bookmarkEnd w:id="107"/>
      <w:bookmarkEnd w:id="108"/>
    </w:p>
    <w:p w14:paraId="3B7FDA6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2024年一般公共预算财政拨款支出277.14万元，比上年决算数增加22.14万元，增长8.68%，具体情况如下(按</w:t>
      </w:r>
      <w:r>
        <w:rPr>
          <w:rStyle w:val="30"/>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分类统计)：</w:t>
      </w:r>
    </w:p>
    <w:p w14:paraId="30AF5365">
      <w:pPr>
        <w:pStyle w:val="29"/>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  （一）2010399 其他政府办公厅（室）及相关机构事务支出 193.87万元，较上年决算数增加11.87万元，增长6.52%。主要原因是本年度人员增加及运行经费增加.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  （二）2080502 事业单位离退休 11.27万元，较上年决算数增加1.27万元，增长12.66%。主要原因是本年度事业单位离退休人数增加。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  （三）2080505 机关事业单位基本养老保险缴费支出 30.67万元，较上年决算数增加3.67万元，增长13.60%。主要原因是本年度人员增加。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  （四）2101102 事业单位医疗 9.57万元，较上年决算数增加0.57万元，增长6.37%。主要原因是本年度人员增加。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  （五）2210201 住房公积金 31.76万元，较上年决算数增加4.76万元，增长17.61%。主要原因是本年度人员增加。</w:t>
      </w:r>
    </w:p>
    <w:p w14:paraId="018069E9">
      <w:pPr>
        <w:pStyle w:val="29"/>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注：没有一般公共预算财政拨款支出的单位，首句不能删掉，并说明“本单位2024年度没有使用一般公共预算财政拨款安排的支出”。</w:t>
      </w:r>
    </w:p>
    <w:p w14:paraId="64074E12">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073"/>
      <w:bookmarkStart w:id="110" w:name="_Toc256000151"/>
      <w:bookmarkStart w:id="111" w:name="_Toc256000019"/>
      <w:bookmarkStart w:id="112" w:name="_Toc256000097"/>
      <w:bookmarkStart w:id="113" w:name="_Toc256000124"/>
      <w:bookmarkStart w:id="114" w:name="_Toc256000046"/>
      <w:r>
        <w:rPr>
          <w:rFonts w:ascii="黑体" w:hAnsi="黑体" w:eastAsia="黑体" w:cs="黑体"/>
          <w:b w:val="0"/>
          <w:bCs w:val="0"/>
          <w:spacing w:val="0"/>
        </w:rPr>
        <w:t>四、政府性基金预算财政拨款支出决算情况说明</w:t>
      </w:r>
      <w:bookmarkEnd w:id="109"/>
      <w:bookmarkEnd w:id="110"/>
      <w:bookmarkEnd w:id="111"/>
      <w:bookmarkEnd w:id="112"/>
      <w:bookmarkEnd w:id="113"/>
      <w:bookmarkEnd w:id="114"/>
    </w:p>
    <w:p w14:paraId="5CDD9374">
      <w:pPr>
        <w:pStyle w:val="29"/>
        <w:widowControl/>
        <w:spacing w:before="100" w:after="100" w:line="560" w:lineRule="atLeast"/>
        <w:ind w:left="100" w:right="100" w:firstLine="640" w:firstLineChars="200"/>
        <w:jc w:val="left"/>
        <w:rPr>
          <w:rFonts w:hint="default" w:ascii="Times New Roman" w:hAnsi="Times New Roman" w:eastAsia="仿宋_GB2312" w:cs="Times New Roman"/>
          <w:kern w:val="0"/>
          <w:sz w:val="24"/>
          <w:lang w:val="en-US" w:eastAsia="zh-CN"/>
        </w:rPr>
      </w:pPr>
      <w:bookmarkStart w:id="115" w:name="_Toc256000125"/>
      <w:bookmarkStart w:id="116" w:name="_Toc256000074"/>
      <w:bookmarkStart w:id="117" w:name="_Toc256000098"/>
      <w:bookmarkStart w:id="118" w:name="_Toc256000152"/>
      <w:bookmarkStart w:id="119" w:name="_Toc256000047"/>
      <w:bookmarkStart w:id="120" w:name="_Toc256000020"/>
      <w:r>
        <w:rPr>
          <w:rFonts w:ascii="仿宋_GB2312" w:hAnsi="仿宋_GB2312" w:eastAsia="仿宋_GB2312" w:cs="仿宋_GB2312"/>
          <w:spacing w:val="0"/>
          <w:kern w:val="0"/>
          <w:sz w:val="32"/>
          <w:szCs w:val="32"/>
        </w:rPr>
        <w:t>2024年度政府性基金支出0万元，比上年决算数增加0万元，</w:t>
      </w:r>
      <w:r>
        <w:rPr>
          <w:rFonts w:hint="eastAsia" w:ascii="仿宋_GB2312" w:hAnsi="仿宋_GB2312" w:eastAsia="仿宋_GB2312" w:cs="仿宋_GB2312"/>
          <w:spacing w:val="0"/>
          <w:kern w:val="0"/>
          <w:sz w:val="32"/>
          <w:szCs w:val="32"/>
          <w:lang w:eastAsia="zh-CN"/>
        </w:rPr>
        <w:t>增长</w:t>
      </w:r>
      <w:r>
        <w:rPr>
          <w:rFonts w:hint="eastAsia" w:ascii="仿宋_GB2312" w:hAnsi="仿宋_GB2312" w:eastAsia="仿宋_GB2312" w:cs="仿宋_GB2312"/>
          <w:spacing w:val="0"/>
          <w:kern w:val="0"/>
          <w:sz w:val="32"/>
          <w:szCs w:val="32"/>
          <w:lang w:val="en-US" w:eastAsia="zh-CN"/>
        </w:rPr>
        <w:t>0%，与上年持平，主要原因是本单位2024年度没有使用政府性基金预算财政拨款安排的支出。</w:t>
      </w:r>
    </w:p>
    <w:p w14:paraId="4D33E2B6">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r>
        <w:rPr>
          <w:rFonts w:ascii="黑体" w:hAnsi="黑体" w:eastAsia="黑体" w:cs="黑体"/>
          <w:b w:val="0"/>
          <w:bCs w:val="0"/>
          <w:spacing w:val="0"/>
        </w:rPr>
        <w:t>五、国有资本经营预算财政拨款支出决算情况说明</w:t>
      </w:r>
      <w:bookmarkEnd w:id="115"/>
      <w:bookmarkEnd w:id="116"/>
      <w:bookmarkEnd w:id="117"/>
      <w:bookmarkEnd w:id="118"/>
      <w:bookmarkEnd w:id="119"/>
      <w:bookmarkEnd w:id="120"/>
    </w:p>
    <w:p w14:paraId="4EA2A906">
      <w:pPr>
        <w:pStyle w:val="29"/>
        <w:widowControl/>
        <w:spacing w:before="100" w:after="100" w:line="560" w:lineRule="atLeast"/>
        <w:ind w:right="100" w:firstLine="640" w:firstLineChars="200"/>
        <w:jc w:val="left"/>
        <w:rPr>
          <w:rFonts w:ascii="Times New Roman" w:hAnsi="Times New Roman" w:eastAsia="Times New Roman" w:cs="Times New Roman"/>
          <w:kern w:val="0"/>
          <w:sz w:val="24"/>
        </w:rPr>
      </w:pPr>
      <w:bookmarkStart w:id="121" w:name="_Toc256000048"/>
      <w:bookmarkStart w:id="122" w:name="_Toc256000153"/>
      <w:bookmarkStart w:id="123" w:name="_Toc256000021"/>
      <w:bookmarkStart w:id="124" w:name="_Toc256000099"/>
      <w:bookmarkStart w:id="125" w:name="_Toc256000126"/>
      <w:bookmarkStart w:id="126" w:name="_Toc256000075"/>
      <w:r>
        <w:rPr>
          <w:rFonts w:ascii="仿宋_GB2312" w:hAnsi="仿宋_GB2312" w:eastAsia="仿宋_GB2312" w:cs="仿宋_GB2312"/>
          <w:spacing w:val="0"/>
          <w:kern w:val="0"/>
          <w:sz w:val="32"/>
          <w:szCs w:val="32"/>
        </w:rPr>
        <w:t>2024年度国有资本经营预算支出0万元，比上年决算数增加0万元，</w:t>
      </w:r>
      <w:r>
        <w:rPr>
          <w:rFonts w:hint="eastAsia" w:ascii="仿宋_GB2312" w:hAnsi="仿宋_GB2312" w:eastAsia="仿宋_GB2312" w:cs="仿宋_GB2312"/>
          <w:spacing w:val="0"/>
          <w:kern w:val="0"/>
          <w:sz w:val="32"/>
          <w:szCs w:val="32"/>
          <w:lang w:eastAsia="zh-CN"/>
        </w:rPr>
        <w:t>增长</w:t>
      </w:r>
      <w:r>
        <w:rPr>
          <w:rFonts w:hint="eastAsia" w:ascii="仿宋_GB2312" w:hAnsi="仿宋_GB2312" w:eastAsia="仿宋_GB2312" w:cs="仿宋_GB2312"/>
          <w:spacing w:val="0"/>
          <w:kern w:val="0"/>
          <w:sz w:val="32"/>
          <w:szCs w:val="32"/>
          <w:lang w:val="en-US" w:eastAsia="zh-CN"/>
        </w:rPr>
        <w:t>0%。</w:t>
      </w:r>
      <w:r>
        <w:rPr>
          <w:rFonts w:hint="eastAsia" w:ascii="仿宋_GB2312" w:hAnsi="仿宋_GB2312" w:eastAsia="仿宋_GB2312" w:cs="仿宋_GB2312"/>
          <w:spacing w:val="0"/>
          <w:kern w:val="0"/>
          <w:sz w:val="32"/>
          <w:szCs w:val="32"/>
          <w:lang w:eastAsia="zh-CN"/>
        </w:rPr>
        <w:t>与上年持平，主要原因是</w:t>
      </w:r>
      <w:r>
        <w:rPr>
          <w:rFonts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2024年度没有使用国有资本经营预算财政拨款安排的支出。</w:t>
      </w:r>
    </w:p>
    <w:p w14:paraId="12198920">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r>
        <w:rPr>
          <w:rFonts w:ascii="黑体" w:hAnsi="黑体" w:eastAsia="黑体" w:cs="黑体"/>
          <w:b w:val="0"/>
          <w:bCs w:val="0"/>
          <w:spacing w:val="0"/>
        </w:rPr>
        <w:t>六、一般公共预算财政拨款基本支出决算情况说明</w:t>
      </w:r>
      <w:bookmarkEnd w:id="121"/>
      <w:bookmarkEnd w:id="122"/>
      <w:bookmarkEnd w:id="123"/>
      <w:bookmarkEnd w:id="124"/>
      <w:bookmarkEnd w:id="125"/>
      <w:bookmarkEnd w:id="126"/>
    </w:p>
    <w:p w14:paraId="641BF3C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2024年度一般公共预算财政拨款基本支出277.14万元，其中：</w:t>
      </w:r>
    </w:p>
    <w:p w14:paraId="6D4A960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277.14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7CD008F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0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4D92028F">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127"/>
      <w:bookmarkStart w:id="128" w:name="_Toc256000100"/>
      <w:bookmarkStart w:id="129" w:name="_Toc256000049"/>
      <w:bookmarkStart w:id="130" w:name="_Toc256000022"/>
      <w:bookmarkStart w:id="131" w:name="_Toc256000076"/>
      <w:bookmarkStart w:id="132" w:name="_Toc256000154"/>
      <w:r>
        <w:rPr>
          <w:rFonts w:ascii="黑体" w:hAnsi="黑体" w:eastAsia="黑体" w:cs="黑体"/>
          <w:b w:val="0"/>
          <w:bCs w:val="0"/>
          <w:spacing w:val="0"/>
        </w:rPr>
        <w:t>七、一般公共预算拨款“三公”经费支出决算情况说明</w:t>
      </w:r>
      <w:bookmarkEnd w:id="127"/>
      <w:bookmarkEnd w:id="128"/>
      <w:bookmarkEnd w:id="129"/>
      <w:bookmarkEnd w:id="130"/>
      <w:bookmarkEnd w:id="131"/>
      <w:bookmarkEnd w:id="132"/>
    </w:p>
    <w:p w14:paraId="048DD95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2024年度一般公共预算拨款“三公”经费支出0万元，完成全年预算的0%</w:t>
      </w:r>
      <w:r>
        <w:rPr>
          <w:rFonts w:hint="eastAsia" w:ascii="仿宋_GB2312" w:hAnsi="仿宋_GB2312" w:eastAsia="仿宋_GB2312" w:cs="仿宋_GB2312"/>
          <w:spacing w:val="0"/>
          <w:kern w:val="0"/>
          <w:sz w:val="32"/>
          <w:szCs w:val="32"/>
          <w:lang w:eastAsia="zh-CN"/>
        </w:rPr>
        <w:t>，与全年预算的</w:t>
      </w:r>
      <w:r>
        <w:rPr>
          <w:rFonts w:hint="eastAsia" w:ascii="仿宋_GB2312" w:hAnsi="仿宋_GB2312" w:eastAsia="仿宋_GB2312" w:cs="仿宋_GB2312"/>
          <w:spacing w:val="0"/>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spacing w:val="0"/>
          <w:kern w:val="0"/>
          <w:sz w:val="32"/>
          <w:szCs w:val="32"/>
          <w:lang w:eastAsia="zh-CN"/>
        </w:rPr>
        <w:t>，与上年决算数持平</w:t>
      </w:r>
      <w:r>
        <w:rPr>
          <w:rFonts w:ascii="仿宋_GB2312" w:hAnsi="仿宋_GB2312" w:eastAsia="仿宋_GB2312" w:cs="仿宋_GB2312"/>
          <w:spacing w:val="0"/>
          <w:kern w:val="0"/>
          <w:sz w:val="32"/>
          <w:szCs w:val="32"/>
        </w:rPr>
        <w:t>。主要原因是本年无“三公”经费支出</w:t>
      </w:r>
      <w:r>
        <w:rPr>
          <w:rFonts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14:paraId="51F0F66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（一）因公出国（境）费支出0万元，完成全年预算的0%</w:t>
      </w:r>
      <w:r>
        <w:rPr>
          <w:rFonts w:hint="eastAsia" w:ascii="仿宋_GB2312" w:hAnsi="仿宋_GB2312" w:eastAsia="仿宋_GB2312" w:cs="仿宋_GB2312"/>
          <w:kern w:val="0"/>
          <w:sz w:val="32"/>
          <w:szCs w:val="32"/>
          <w:lang w:eastAsia="zh-CN"/>
        </w:rPr>
        <w:t>，与全年预算的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kern w:val="0"/>
          <w:sz w:val="32"/>
          <w:szCs w:val="32"/>
          <w:lang w:eastAsia="zh-CN"/>
        </w:rPr>
        <w:t>持平</w:t>
      </w:r>
      <w:r>
        <w:rPr>
          <w:rFonts w:ascii="仿宋_GB2312" w:hAnsi="仿宋_GB2312" w:eastAsia="仿宋_GB2312" w:cs="仿宋_GB2312"/>
          <w:kern w:val="0"/>
          <w:sz w:val="32"/>
          <w:szCs w:val="32"/>
        </w:rPr>
        <w:t>；较上年增加0万元，增长0%</w:t>
      </w:r>
      <w:r>
        <w:rPr>
          <w:rFonts w:hint="eastAsia" w:ascii="仿宋_GB2312" w:hAnsi="仿宋_GB2312" w:eastAsia="仿宋_GB2312" w:cs="仿宋_GB2312"/>
          <w:kern w:val="0"/>
          <w:sz w:val="32"/>
          <w:szCs w:val="32"/>
          <w:lang w:eastAsia="zh-CN"/>
        </w:rPr>
        <w:t>，与上年决算数持平</w:t>
      </w:r>
      <w:r>
        <w:rPr>
          <w:rFonts w:ascii="仿宋_GB2312" w:hAnsi="仿宋_GB2312" w:eastAsia="仿宋_GB2312" w:cs="仿宋_GB2312"/>
          <w:kern w:val="0"/>
          <w:sz w:val="32"/>
          <w:szCs w:val="32"/>
        </w:rPr>
        <w:t>。全年安排本部门组织的出国团组0个，参加其他部门出国团组0个；全年因公出国（境）累计0 人次。原因是本年无因公出国（境）费支出。</w:t>
      </w:r>
    </w:p>
    <w:p w14:paraId="315C1AD7">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w:t>
      </w:r>
      <w:r>
        <w:rPr>
          <w:rFonts w:ascii="仿宋_GB2312" w:hAnsi="仿宋_GB2312" w:eastAsia="仿宋_GB2312" w:cs="仿宋_GB2312"/>
          <w:kern w:val="0"/>
          <w:sz w:val="32"/>
          <w:szCs w:val="32"/>
        </w:rPr>
        <w:t>增加0万元，增长0%</w:t>
      </w:r>
      <w:r>
        <w:rPr>
          <w:rFonts w:hint="eastAsia" w:ascii="仿宋_GB2312" w:hAnsi="仿宋_GB2312" w:eastAsia="仿宋_GB2312" w:cs="仿宋_GB2312"/>
          <w:kern w:val="0"/>
          <w:sz w:val="32"/>
          <w:szCs w:val="32"/>
          <w:lang w:eastAsia="zh-CN"/>
        </w:rPr>
        <w:t>，与上年决算数持平</w:t>
      </w:r>
      <w:r>
        <w:rPr>
          <w:rFonts w:ascii="仿宋_GB2312" w:hAnsi="仿宋_GB2312" w:eastAsia="仿宋_GB2312" w:cs="仿宋_GB2312"/>
          <w:kern w:val="0"/>
          <w:sz w:val="32"/>
          <w:szCs w:val="32"/>
        </w:rPr>
        <w:t>。其中：</w:t>
      </w:r>
    </w:p>
    <w:p w14:paraId="3A89F1D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spacing w:val="0"/>
          <w:kern w:val="0"/>
          <w:sz w:val="32"/>
          <w:szCs w:val="32"/>
          <w:lang w:eastAsia="zh-CN"/>
        </w:rPr>
        <w:t>，与上年决算数持平</w:t>
      </w:r>
      <w:r>
        <w:rPr>
          <w:rFonts w:ascii="仿宋_GB2312" w:hAnsi="仿宋_GB2312" w:eastAsia="仿宋_GB2312" w:cs="仿宋_GB2312"/>
          <w:spacing w:val="0"/>
          <w:kern w:val="0"/>
          <w:sz w:val="32"/>
          <w:szCs w:val="32"/>
        </w:rPr>
        <w:t>。2024年公务用车购置0辆，主要原因是本年无公务用车购置经费支出。</w:t>
      </w:r>
    </w:p>
    <w:p w14:paraId="0F66D94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公务用车运行费支出0万元，完成全年预算的0%</w:t>
      </w:r>
      <w:r>
        <w:rPr>
          <w:rFonts w:hint="eastAsia" w:ascii="仿宋_GB2312" w:hAnsi="仿宋_GB2312" w:eastAsia="仿宋_GB2312" w:cs="仿宋_GB2312"/>
          <w:spacing w:val="0"/>
          <w:kern w:val="0"/>
          <w:sz w:val="32"/>
          <w:szCs w:val="32"/>
          <w:lang w:eastAsia="zh-CN"/>
        </w:rPr>
        <w:t>，与全年预算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lang w:val="en-US" w:eastAsia="zh-CN"/>
        </w:rPr>
        <w:t>0.00万元</w:t>
      </w:r>
      <w:r>
        <w:rPr>
          <w:rFonts w:hint="eastAsia" w:ascii="仿宋_GB2312" w:hAnsi="仿宋_GB2312" w:eastAsia="仿宋_GB2312" w:cs="仿宋_GB2312"/>
          <w:spacing w:val="0"/>
          <w:kern w:val="0"/>
          <w:sz w:val="32"/>
          <w:szCs w:val="32"/>
          <w:lang w:eastAsia="zh-CN"/>
        </w:rPr>
        <w:t>持平</w:t>
      </w:r>
      <w:r>
        <w:rPr>
          <w:rFonts w:ascii="仿宋_GB2312" w:hAnsi="仿宋_GB2312" w:eastAsia="仿宋_GB2312" w:cs="仿宋_GB2312"/>
          <w:spacing w:val="0"/>
          <w:kern w:val="0"/>
          <w:sz w:val="32"/>
          <w:szCs w:val="32"/>
        </w:rPr>
        <w:t>；较上年增加0万元，增长0%</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与上年</w:t>
      </w:r>
      <w:r>
        <w:rPr>
          <w:rFonts w:hint="eastAsia" w:ascii="仿宋_GB2312" w:hAnsi="仿宋_GB2312" w:eastAsia="仿宋_GB2312" w:cs="仿宋_GB2312"/>
          <w:spacing w:val="0"/>
          <w:kern w:val="0"/>
          <w:sz w:val="32"/>
          <w:szCs w:val="32"/>
          <w:lang w:eastAsia="zh-CN"/>
        </w:rPr>
        <w:t>决算数</w:t>
      </w:r>
      <w:r>
        <w:rPr>
          <w:rFonts w:ascii="仿宋_GB2312" w:hAnsi="仿宋_GB2312" w:eastAsia="仿宋_GB2312" w:cs="仿宋_GB2312"/>
          <w:spacing w:val="0"/>
          <w:kern w:val="0"/>
          <w:sz w:val="32"/>
          <w:szCs w:val="32"/>
        </w:rPr>
        <w:t>持平</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主要原因是本年无公务用车运行费支出。截至2024年12月31日，本部门公务用车保有量为0辆。</w:t>
      </w:r>
    </w:p>
    <w:p w14:paraId="14402D1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（三）公务接待费支出0万元，</w:t>
      </w:r>
      <w:r>
        <w:rPr>
          <w:rFonts w:ascii="仿宋_GB2312" w:hAnsi="仿宋_GB2312" w:eastAsia="仿宋_GB2312" w:cs="仿宋_GB2312"/>
          <w:kern w:val="0"/>
          <w:sz w:val="32"/>
          <w:szCs w:val="32"/>
          <w:shd w:val="clear" w:color="auto" w:fill="FFFFFF"/>
        </w:rPr>
        <w:t>完成全年预算的0%，</w:t>
      </w:r>
      <w:r>
        <w:rPr>
          <w:rFonts w:hint="eastAsia" w:ascii="仿宋_GB2312" w:hAnsi="仿宋_GB2312" w:eastAsia="仿宋_GB2312" w:cs="仿宋_GB2312"/>
          <w:kern w:val="0"/>
          <w:sz w:val="32"/>
          <w:szCs w:val="32"/>
          <w:shd w:val="clear" w:color="auto" w:fill="FFFFFF"/>
          <w:lang w:eastAsia="zh-CN"/>
        </w:rPr>
        <w:t>与</w:t>
      </w:r>
      <w:r>
        <w:rPr>
          <w:rFonts w:ascii="仿宋_GB2312" w:hAnsi="仿宋_GB2312" w:eastAsia="仿宋_GB2312" w:cs="仿宋_GB2312"/>
          <w:kern w:val="0"/>
          <w:sz w:val="32"/>
          <w:szCs w:val="32"/>
          <w:shd w:val="clear" w:color="auto" w:fill="FFFFFF"/>
        </w:rPr>
        <w:t>全年预算</w:t>
      </w:r>
      <w:r>
        <w:rPr>
          <w:rFonts w:hint="eastAsia" w:ascii="仿宋_GB2312" w:hAnsi="仿宋_GB2312" w:eastAsia="仿宋_GB2312" w:cs="仿宋_GB2312"/>
          <w:kern w:val="0"/>
          <w:sz w:val="32"/>
          <w:szCs w:val="32"/>
          <w:shd w:val="clear" w:color="auto" w:fill="FFFFFF"/>
          <w:lang w:eastAsia="zh-CN"/>
        </w:rPr>
        <w:t>的</w:t>
      </w:r>
      <w:r>
        <w:rPr>
          <w:rFonts w:hint="eastAsia" w:ascii="仿宋_GB2312" w:hAnsi="仿宋_GB2312" w:eastAsia="仿宋_GB2312" w:cs="仿宋_GB2312"/>
          <w:kern w:val="0"/>
          <w:sz w:val="32"/>
          <w:szCs w:val="32"/>
          <w:shd w:val="clear" w:color="auto" w:fill="FFFFFF"/>
          <w:lang w:val="en-US" w:eastAsia="zh-CN"/>
        </w:rPr>
        <w:t>0.00万元</w:t>
      </w:r>
      <w:r>
        <w:rPr>
          <w:rFonts w:ascii="仿宋_GB2312" w:hAnsi="仿宋_GB2312" w:eastAsia="仿宋_GB2312" w:cs="仿宋_GB2312"/>
          <w:kern w:val="0"/>
          <w:sz w:val="32"/>
          <w:szCs w:val="32"/>
          <w:shd w:val="clear" w:color="auto" w:fill="FFFFFF"/>
        </w:rPr>
        <w:t>持平</w:t>
      </w:r>
      <w:r>
        <w:rPr>
          <w:rFonts w:ascii="仿宋_GB2312" w:hAnsi="仿宋_GB2312" w:eastAsia="仿宋_GB2312" w:cs="仿宋_GB2312"/>
          <w:kern w:val="0"/>
          <w:sz w:val="32"/>
          <w:szCs w:val="32"/>
        </w:rPr>
        <w:t>；较上年增加0万元，</w:t>
      </w:r>
      <w:r>
        <w:rPr>
          <w:rFonts w:ascii="仿宋_GB2312" w:hAnsi="仿宋_GB2312" w:eastAsia="仿宋_GB2312" w:cs="仿宋_GB2312"/>
          <w:spacing w:val="0"/>
          <w:kern w:val="0"/>
          <w:sz w:val="32"/>
          <w:szCs w:val="32"/>
          <w:shd w:val="clear" w:color="auto" w:fill="FFFFFF"/>
        </w:rPr>
        <w:t>增长0%，</w:t>
      </w:r>
      <w:r>
        <w:rPr>
          <w:rFonts w:ascii="仿宋_GB2312" w:hAnsi="仿宋_GB2312" w:eastAsia="仿宋_GB2312" w:cs="仿宋_GB2312"/>
          <w:kern w:val="0"/>
          <w:sz w:val="32"/>
          <w:szCs w:val="32"/>
          <w:shd w:val="clear" w:color="auto" w:fill="FFFFFF"/>
        </w:rPr>
        <w:t>与上年决算数持平。主要原因是本年无公务接待费支出。累计接待0批次、0人次。</w:t>
      </w:r>
    </w:p>
    <w:p w14:paraId="40B13DC2">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3" w:name="_Toc256000077"/>
      <w:bookmarkStart w:id="134" w:name="_Toc256000050"/>
      <w:bookmarkStart w:id="135" w:name="_Toc256000023"/>
      <w:bookmarkStart w:id="136" w:name="_Toc256000155"/>
      <w:bookmarkStart w:id="137" w:name="_Toc256000128"/>
      <w:bookmarkStart w:id="138" w:name="_Toc256000101"/>
      <w:r>
        <w:rPr>
          <w:rFonts w:ascii="黑体" w:hAnsi="黑体" w:eastAsia="黑体" w:cs="黑体"/>
          <w:b w:val="0"/>
          <w:bCs w:val="0"/>
          <w:spacing w:val="0"/>
        </w:rPr>
        <w:t>八、预算绩效情况说明</w:t>
      </w:r>
      <w:bookmarkEnd w:id="133"/>
      <w:bookmarkEnd w:id="134"/>
      <w:bookmarkEnd w:id="135"/>
      <w:bookmarkEnd w:id="136"/>
      <w:bookmarkEnd w:id="137"/>
      <w:bookmarkEnd w:id="138"/>
    </w:p>
    <w:p w14:paraId="42F13255">
      <w:pPr>
        <w:pStyle w:val="5"/>
        <w:keepNext w:val="0"/>
        <w:keepLines w:val="0"/>
        <w:spacing w:before="100" w:after="100" w:line="560" w:lineRule="atLeast"/>
        <w:ind w:left="100" w:right="100" w:firstLine="640" w:firstLineChars="0"/>
        <w:rPr>
          <w:rFonts w:hint="eastAsia" w:ascii="仿宋_GB2312" w:hAnsi="仿宋_GB2312" w:eastAsia="仿宋_GB2312" w:cs="仿宋_GB2312"/>
          <w:spacing w:val="0"/>
          <w:kern w:val="0"/>
          <w:sz w:val="32"/>
          <w:szCs w:val="32"/>
          <w:lang w:eastAsia="zh-CN"/>
        </w:rPr>
      </w:pPr>
      <w:bookmarkStart w:id="139" w:name="_Toc256000024"/>
      <w:bookmarkStart w:id="140" w:name="_Toc256000156"/>
      <w:bookmarkStart w:id="141" w:name="_Toc256000102"/>
      <w:bookmarkStart w:id="142" w:name="_Toc256000051"/>
      <w:bookmarkStart w:id="143" w:name="_Toc256000078"/>
      <w:bookmarkStart w:id="144" w:name="_Toc256000129"/>
      <w:r>
        <w:rPr>
          <w:rFonts w:ascii="仿宋_GB2312" w:hAnsi="仿宋_GB2312" w:eastAsia="仿宋_GB2312" w:cs="仿宋_GB2312"/>
          <w:spacing w:val="0"/>
          <w:kern w:val="0"/>
          <w:sz w:val="32"/>
          <w:szCs w:val="32"/>
        </w:rPr>
        <w:t>根据预算绩效管理要求，本部门组织对2024年度0个项目实施单位自评</w:t>
      </w:r>
      <w:r>
        <w:rPr>
          <w:rFonts w:hint="eastAsia" w:ascii="仿宋_GB2312" w:hAnsi="仿宋_GB2312" w:eastAsia="仿宋_GB2312" w:cs="仿宋_GB2312"/>
          <w:spacing w:val="0"/>
          <w:kern w:val="0"/>
          <w:sz w:val="32"/>
          <w:szCs w:val="32"/>
          <w:lang w:eastAsia="zh-CN"/>
        </w:rPr>
        <w:t>，</w:t>
      </w:r>
      <w:r>
        <w:rPr>
          <w:rFonts w:ascii="仿宋_GB2312" w:hAnsi="仿宋_GB2312" w:eastAsia="仿宋_GB2312" w:cs="仿宋_GB2312"/>
          <w:spacing w:val="0"/>
          <w:kern w:val="0"/>
          <w:sz w:val="32"/>
          <w:szCs w:val="32"/>
        </w:rPr>
        <w:t>涉及财政拨款资金共计0万元，</w:t>
      </w:r>
      <w:r>
        <w:rPr>
          <w:rFonts w:hint="eastAsia" w:ascii="仿宋_GB2312" w:hAnsi="仿宋_GB2312" w:eastAsia="仿宋_GB2312" w:cs="仿宋_GB2312"/>
          <w:spacing w:val="0"/>
          <w:kern w:val="0"/>
          <w:sz w:val="32"/>
          <w:szCs w:val="32"/>
          <w:lang w:eastAsia="zh-CN"/>
        </w:rPr>
        <w:t>主要是本单位</w:t>
      </w:r>
      <w:r>
        <w:rPr>
          <w:rFonts w:hint="eastAsia" w:ascii="仿宋_GB2312" w:hAnsi="仿宋_GB2312" w:eastAsia="仿宋_GB2312" w:cs="仿宋_GB2312"/>
          <w:spacing w:val="0"/>
          <w:kern w:val="0"/>
          <w:sz w:val="32"/>
          <w:szCs w:val="32"/>
          <w:lang w:val="en-US" w:eastAsia="zh-CN"/>
        </w:rPr>
        <w:t>2024年度无相关的单位自评项目，无</w:t>
      </w:r>
      <w:r>
        <w:rPr>
          <w:rFonts w:ascii="仿宋_GB2312" w:hAnsi="仿宋_GB2312" w:eastAsia="仿宋_GB2312" w:cs="仿宋_GB2312"/>
          <w:spacing w:val="0"/>
          <w:kern w:val="0"/>
          <w:sz w:val="32"/>
          <w:szCs w:val="32"/>
        </w:rPr>
        <w:t>《项目支出绩效评价报告》</w:t>
      </w:r>
      <w:r>
        <w:rPr>
          <w:rFonts w:hint="eastAsia" w:ascii="仿宋_GB2312" w:hAnsi="仿宋_GB2312" w:eastAsia="仿宋_GB2312" w:cs="仿宋_GB2312"/>
          <w:spacing w:val="0"/>
          <w:kern w:val="0"/>
          <w:sz w:val="32"/>
          <w:szCs w:val="32"/>
          <w:lang w:eastAsia="zh-CN"/>
        </w:rPr>
        <w:t>。</w:t>
      </w:r>
    </w:p>
    <w:p w14:paraId="47DE0D6F">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r>
        <w:rPr>
          <w:rFonts w:ascii="黑体" w:hAnsi="黑体" w:eastAsia="黑体" w:cs="黑体"/>
          <w:b w:val="0"/>
          <w:bCs w:val="0"/>
          <w:spacing w:val="0"/>
        </w:rPr>
        <w:t>九、其他重要事项说明</w:t>
      </w:r>
      <w:bookmarkEnd w:id="139"/>
      <w:bookmarkEnd w:id="140"/>
      <w:bookmarkEnd w:id="141"/>
      <w:bookmarkEnd w:id="142"/>
      <w:bookmarkEnd w:id="143"/>
      <w:bookmarkEnd w:id="144"/>
    </w:p>
    <w:p w14:paraId="4C79675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（一）机关运行经费</w:t>
      </w:r>
      <w:r>
        <w:rPr>
          <w:rFonts w:ascii="楷体_GB2312" w:hAnsi="楷体_GB2312" w:eastAsia="楷体_GB2312" w:cs="楷体_GB2312"/>
          <w:spacing w:val="0"/>
          <w:kern w:val="0"/>
          <w:sz w:val="32"/>
          <w:szCs w:val="32"/>
        </w:rPr>
        <w:t> </w:t>
      </w:r>
    </w:p>
    <w:p w14:paraId="67483A93">
      <w:pPr>
        <w:pStyle w:val="29"/>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2024年度机关运行经费支出0万元，比上年决算数增加0万元，增长0%，主要原因是: 本单位为事业单位没有机关运行经费</w:t>
      </w:r>
      <w:r>
        <w:rPr>
          <w:rFonts w:hint="eastAsia" w:ascii="仿宋_GB2312" w:hAnsi="仿宋_GB2312" w:eastAsia="仿宋_GB2312" w:cs="仿宋_GB2312"/>
          <w:spacing w:val="0"/>
          <w:kern w:val="0"/>
          <w:sz w:val="32"/>
          <w:szCs w:val="32"/>
          <w:lang w:eastAsia="zh-CN"/>
        </w:rPr>
        <w:t>。</w:t>
      </w:r>
    </w:p>
    <w:p w14:paraId="0AAF1FE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（二）政府采购情况</w:t>
      </w:r>
    </w:p>
    <w:p w14:paraId="297B8628">
      <w:pPr>
        <w:pStyle w:val="29"/>
        <w:widowControl/>
        <w:spacing w:before="100" w:after="100" w:line="560" w:lineRule="atLeast"/>
        <w:ind w:left="100" w:right="100" w:firstLine="640"/>
        <w:jc w:val="left"/>
        <w:rPr>
          <w:rFonts w:ascii="仿宋_GB2312" w:hAnsi="仿宋_GB2312" w:eastAsia="仿宋_GB2312" w:cs="仿宋_GB2312"/>
          <w:kern w:val="0"/>
          <w:sz w:val="32"/>
          <w:szCs w:val="32"/>
        </w:rPr>
      </w:pPr>
      <w:r>
        <w:rPr>
          <w:rFonts w:ascii="仿宋_GB2312" w:hAnsi="仿宋_GB2312" w:eastAsia="仿宋_GB2312" w:cs="仿宋_GB2312"/>
          <w:spacing w:val="0"/>
          <w:kern w:val="0"/>
          <w:sz w:val="32"/>
          <w:szCs w:val="32"/>
        </w:rPr>
        <w:t>本单位2024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r>
        <w:rPr>
          <w:rFonts w:ascii="仿宋_GB2312" w:hAnsi="仿宋_GB2312" w:eastAsia="仿宋_GB2312" w:cs="仿宋_GB2312"/>
          <w:kern w:val="0"/>
          <w:sz w:val="32"/>
          <w:szCs w:val="32"/>
        </w:rPr>
        <w:t>%。</w:t>
      </w:r>
    </w:p>
    <w:p w14:paraId="63572D18">
      <w:pPr>
        <w:pStyle w:val="29"/>
        <w:widowControl/>
        <w:spacing w:before="100" w:after="100" w:line="560" w:lineRule="atLeast"/>
        <w:ind w:left="100" w:right="100"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2024年度没有政府采购支出。</w:t>
      </w:r>
    </w:p>
    <w:p w14:paraId="7D7B4EFB">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（三）国有资产占用使用情况</w:t>
      </w:r>
      <w:r>
        <w:rPr>
          <w:rFonts w:ascii="楷体_GB2312" w:hAnsi="楷体_GB2312" w:eastAsia="楷体_GB2312" w:cs="楷体_GB2312"/>
          <w:spacing w:val="0"/>
          <w:kern w:val="0"/>
          <w:sz w:val="32"/>
          <w:szCs w:val="32"/>
        </w:rPr>
        <w:t> </w:t>
      </w:r>
    </w:p>
    <w:p w14:paraId="366C974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截至2024年12月31日，本单位共有车辆0 辆，其中：副部（省）级以上领导用车0 辆、主要领导干部用车0 辆、机要通信用车0辆、应急保障用车0辆、执法执勤用车0辆、特种专业技术用车0辆、离退休干部用车0辆、其他用车0辆</w:t>
      </w:r>
      <w:bookmarkStart w:id="157" w:name="_GoBack"/>
      <w:bookmarkEnd w:id="157"/>
      <w:r>
        <w:rPr>
          <w:rFonts w:ascii="仿宋_GB2312" w:hAnsi="仿宋_GB2312" w:eastAsia="仿宋_GB2312" w:cs="仿宋_GB2312"/>
          <w:spacing w:val="0"/>
          <w:kern w:val="0"/>
          <w:sz w:val="32"/>
          <w:szCs w:val="32"/>
        </w:rPr>
        <w:t>；单位价值100万元以上设备（不含车辆）0台（套）。  </w:t>
      </w:r>
    </w:p>
    <w:p w14:paraId="7287812B">
      <w:pPr>
        <w:sectPr>
          <w:footerReference r:id="rId18" w:type="default"/>
          <w:pgSz w:w="11906" w:h="16838"/>
          <w:pgMar w:top="1440" w:right="720" w:bottom="1440" w:left="720" w:header="720" w:footer="720" w:gutter="0"/>
          <w:cols w:space="720" w:num="1"/>
        </w:sectPr>
      </w:pPr>
    </w:p>
    <w:p w14:paraId="1A542D4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2B5CE885">
      <w:pPr>
        <w:pStyle w:val="29"/>
        <w:widowControl/>
        <w:spacing w:before="100" w:after="100"/>
        <w:ind w:left="100" w:right="100" w:firstLine="640"/>
        <w:jc w:val="left"/>
        <w:rPr>
          <w:rFonts w:ascii="Times New Roman" w:hAnsi="Times New Roman" w:eastAsia="Times New Roman" w:cs="Times New Roman"/>
          <w:kern w:val="0"/>
          <w:sz w:val="24"/>
        </w:rPr>
      </w:pPr>
    </w:p>
    <w:p w14:paraId="65C7AB58">
      <w:pPr>
        <w:pStyle w:val="29"/>
        <w:widowControl/>
        <w:spacing w:before="100" w:after="100"/>
        <w:ind w:left="100" w:right="100" w:firstLine="640"/>
        <w:jc w:val="left"/>
        <w:rPr>
          <w:rFonts w:ascii="Times New Roman" w:hAnsi="Times New Roman" w:eastAsia="Times New Roman" w:cs="Times New Roman"/>
          <w:kern w:val="0"/>
          <w:sz w:val="24"/>
        </w:rPr>
      </w:pPr>
    </w:p>
    <w:p w14:paraId="775E01DA">
      <w:pPr>
        <w:pStyle w:val="29"/>
        <w:widowControl/>
        <w:spacing w:before="100" w:after="100"/>
        <w:ind w:left="100" w:right="100" w:firstLine="640"/>
        <w:jc w:val="left"/>
        <w:rPr>
          <w:rFonts w:ascii="Times New Roman" w:hAnsi="Times New Roman" w:eastAsia="Times New Roman" w:cs="Times New Roman"/>
          <w:kern w:val="0"/>
          <w:sz w:val="24"/>
        </w:rPr>
      </w:pPr>
    </w:p>
    <w:p w14:paraId="5910C3C2">
      <w:pPr>
        <w:pStyle w:val="29"/>
        <w:widowControl/>
        <w:spacing w:before="100" w:after="100"/>
        <w:ind w:left="100" w:right="100" w:firstLine="640"/>
        <w:jc w:val="left"/>
        <w:rPr>
          <w:rFonts w:ascii="Times New Roman" w:hAnsi="Times New Roman" w:eastAsia="Times New Roman" w:cs="Times New Roman"/>
          <w:kern w:val="0"/>
          <w:sz w:val="24"/>
        </w:rPr>
      </w:pPr>
    </w:p>
    <w:p w14:paraId="0BD6B8E9">
      <w:pPr>
        <w:pStyle w:val="29"/>
        <w:widowControl/>
        <w:spacing w:before="100" w:after="100"/>
        <w:ind w:left="100" w:right="100" w:firstLine="640"/>
        <w:jc w:val="left"/>
        <w:rPr>
          <w:rFonts w:ascii="Times New Roman" w:hAnsi="Times New Roman" w:eastAsia="Times New Roman" w:cs="Times New Roman"/>
          <w:kern w:val="0"/>
          <w:sz w:val="24"/>
        </w:rPr>
      </w:pPr>
    </w:p>
    <w:p w14:paraId="4A59155C">
      <w:pPr>
        <w:pStyle w:val="29"/>
        <w:widowControl/>
        <w:spacing w:before="100" w:after="100"/>
        <w:ind w:left="100" w:right="100" w:firstLine="640"/>
        <w:jc w:val="left"/>
        <w:rPr>
          <w:rFonts w:ascii="Times New Roman" w:hAnsi="Times New Roman" w:eastAsia="Times New Roman" w:cs="Times New Roman"/>
          <w:kern w:val="0"/>
          <w:sz w:val="24"/>
        </w:rPr>
      </w:pPr>
    </w:p>
    <w:p w14:paraId="41C71823">
      <w:pPr>
        <w:pStyle w:val="29"/>
        <w:widowControl/>
        <w:spacing w:before="100" w:after="100"/>
        <w:ind w:left="100" w:right="100" w:firstLine="640"/>
        <w:jc w:val="left"/>
        <w:rPr>
          <w:rFonts w:ascii="Times New Roman" w:hAnsi="Times New Roman" w:eastAsia="Times New Roman" w:cs="Times New Roman"/>
          <w:kern w:val="0"/>
          <w:sz w:val="24"/>
        </w:rPr>
      </w:pPr>
    </w:p>
    <w:p w14:paraId="49D70D0B">
      <w:pPr>
        <w:pStyle w:val="29"/>
        <w:widowControl/>
        <w:spacing w:before="100" w:after="100"/>
        <w:ind w:left="100" w:right="100" w:firstLine="640"/>
        <w:jc w:val="left"/>
        <w:rPr>
          <w:rFonts w:ascii="Times New Roman" w:hAnsi="Times New Roman" w:eastAsia="Times New Roman" w:cs="Times New Roman"/>
          <w:kern w:val="0"/>
          <w:sz w:val="24"/>
        </w:rPr>
      </w:pPr>
    </w:p>
    <w:p w14:paraId="63B244C4">
      <w:pPr>
        <w:pStyle w:val="29"/>
        <w:widowControl/>
        <w:spacing w:before="100" w:after="100"/>
        <w:ind w:left="100" w:right="100" w:firstLine="640"/>
        <w:jc w:val="left"/>
        <w:rPr>
          <w:rFonts w:ascii="Times New Roman" w:hAnsi="Times New Roman" w:eastAsia="Times New Roman" w:cs="Times New Roman"/>
          <w:kern w:val="0"/>
          <w:sz w:val="24"/>
        </w:rPr>
      </w:pPr>
    </w:p>
    <w:p w14:paraId="1C2AC3AE">
      <w:pPr>
        <w:pStyle w:val="29"/>
        <w:widowControl/>
        <w:spacing w:before="100" w:after="100"/>
        <w:ind w:left="100" w:right="100" w:firstLine="640"/>
        <w:jc w:val="left"/>
        <w:rPr>
          <w:rFonts w:ascii="Times New Roman" w:hAnsi="Times New Roman" w:eastAsia="Times New Roman" w:cs="Times New Roman"/>
          <w:kern w:val="0"/>
          <w:sz w:val="24"/>
        </w:rPr>
      </w:pPr>
    </w:p>
    <w:p w14:paraId="19B0FC91">
      <w:pPr>
        <w:pStyle w:val="29"/>
        <w:widowControl/>
        <w:spacing w:before="100" w:after="100"/>
        <w:ind w:left="100" w:right="100" w:firstLine="640"/>
        <w:jc w:val="left"/>
        <w:rPr>
          <w:rFonts w:ascii="Times New Roman" w:hAnsi="Times New Roman" w:eastAsia="Times New Roman" w:cs="Times New Roman"/>
          <w:kern w:val="0"/>
          <w:sz w:val="24"/>
        </w:rPr>
      </w:pPr>
    </w:p>
    <w:p w14:paraId="49D6054F">
      <w:pPr>
        <w:pStyle w:val="29"/>
        <w:widowControl/>
        <w:spacing w:before="100" w:after="100"/>
        <w:ind w:left="100" w:right="100" w:firstLine="640"/>
        <w:jc w:val="left"/>
        <w:rPr>
          <w:rFonts w:ascii="Times New Roman" w:hAnsi="Times New Roman" w:eastAsia="Times New Roman" w:cs="Times New Roman"/>
          <w:kern w:val="0"/>
          <w:sz w:val="24"/>
        </w:rPr>
      </w:pPr>
    </w:p>
    <w:p w14:paraId="5509ED5A">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45" w:name="_Toc256000025"/>
      <w:bookmarkStart w:id="146" w:name="_Toc256000052"/>
      <w:bookmarkStart w:id="147" w:name="_Toc256000130"/>
      <w:bookmarkStart w:id="148" w:name="_Toc256000103"/>
      <w:bookmarkStart w:id="149" w:name="_Toc256000157"/>
      <w:bookmarkStart w:id="150" w:name="_Toc256000079"/>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45"/>
      <w:bookmarkEnd w:id="146"/>
      <w:bookmarkEnd w:id="147"/>
      <w:bookmarkEnd w:id="148"/>
      <w:bookmarkEnd w:id="149"/>
      <w:bookmarkEnd w:id="150"/>
    </w:p>
    <w:p w14:paraId="2D118934">
      <w:pPr>
        <w:sectPr>
          <w:footerReference r:id="rId19" w:type="default"/>
          <w:pgSz w:w="11906" w:h="16838"/>
          <w:pgMar w:top="1440" w:right="720" w:bottom="1440" w:left="720" w:header="720" w:footer="720" w:gutter="0"/>
          <w:cols w:space="720" w:num="1"/>
        </w:sectPr>
      </w:pPr>
    </w:p>
    <w:p w14:paraId="7F86C26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AE62681">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指单位从本级财政单位取得的财政预算资金，包括一般公共预算财政拨款、政府性基金预算财政拨款和国有资本经营预算财政拨款。</w:t>
      </w:r>
    </w:p>
    <w:p w14:paraId="2F9E09C5">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14:paraId="2EB2F01E">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14:paraId="3AAB2CD8">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14:paraId="6B4CE8B8">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五、使用非财政拨款结余（含专用结余）：</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14:paraId="61ED79A6">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14:paraId="2FBAE8D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14:paraId="397239D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14:paraId="04060BC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14:paraId="474DE8C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14:paraId="2BE14AAE">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14:paraId="61EF293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1A6CF36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7DBE8C1C">
      <w:pPr>
        <w:pStyle w:val="29"/>
        <w:widowControl/>
        <w:spacing w:before="240" w:after="240"/>
        <w:ind w:firstLine="643"/>
        <w:jc w:val="left"/>
        <w:rPr>
          <w:rFonts w:ascii="Times New Roman" w:hAnsi="Times New Roman" w:eastAsia="Times New Roman" w:cs="Times New Roman"/>
          <w:kern w:val="0"/>
          <w:sz w:val="24"/>
        </w:rPr>
      </w:pPr>
    </w:p>
    <w:p w14:paraId="1F35533D">
      <w:pPr>
        <w:sectPr>
          <w:footerReference r:id="rId20" w:type="default"/>
          <w:pgSz w:w="11906" w:h="16838"/>
          <w:pgMar w:top="1440" w:right="720" w:bottom="1440" w:left="720" w:header="720" w:footer="720" w:gutter="0"/>
          <w:cols w:space="720" w:num="1"/>
        </w:sectPr>
      </w:pPr>
    </w:p>
    <w:p w14:paraId="6A6BF1B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E4105BD">
      <w:pPr>
        <w:pStyle w:val="29"/>
        <w:widowControl/>
        <w:spacing w:before="240" w:after="240"/>
        <w:jc w:val="left"/>
        <w:rPr>
          <w:rFonts w:ascii="Times New Roman" w:hAnsi="Times New Roman" w:eastAsia="Times New Roman" w:cs="Times New Roman"/>
          <w:kern w:val="0"/>
          <w:sz w:val="24"/>
        </w:rPr>
      </w:pPr>
    </w:p>
    <w:p w14:paraId="163CDDCA">
      <w:pPr>
        <w:pStyle w:val="29"/>
        <w:widowControl/>
        <w:spacing w:before="240" w:after="240"/>
        <w:jc w:val="left"/>
        <w:rPr>
          <w:rFonts w:ascii="Times New Roman" w:hAnsi="Times New Roman" w:eastAsia="Times New Roman" w:cs="Times New Roman"/>
          <w:kern w:val="0"/>
          <w:sz w:val="24"/>
        </w:rPr>
      </w:pPr>
    </w:p>
    <w:p w14:paraId="38AB900D">
      <w:pPr>
        <w:pStyle w:val="29"/>
        <w:widowControl/>
        <w:spacing w:before="240" w:after="240"/>
        <w:jc w:val="left"/>
        <w:rPr>
          <w:rFonts w:ascii="Times New Roman" w:hAnsi="Times New Roman" w:eastAsia="Times New Roman" w:cs="Times New Roman"/>
          <w:kern w:val="0"/>
          <w:sz w:val="24"/>
        </w:rPr>
      </w:pPr>
    </w:p>
    <w:p w14:paraId="7AD278FF">
      <w:pPr>
        <w:pStyle w:val="29"/>
        <w:widowControl/>
        <w:spacing w:before="240" w:after="240"/>
        <w:jc w:val="left"/>
        <w:rPr>
          <w:rFonts w:ascii="Times New Roman" w:hAnsi="Times New Roman" w:eastAsia="Times New Roman" w:cs="Times New Roman"/>
          <w:kern w:val="0"/>
          <w:sz w:val="24"/>
        </w:rPr>
      </w:pPr>
    </w:p>
    <w:p w14:paraId="14E95B75">
      <w:pPr>
        <w:pStyle w:val="29"/>
        <w:widowControl/>
        <w:spacing w:before="240" w:after="240"/>
        <w:jc w:val="left"/>
        <w:rPr>
          <w:rFonts w:ascii="Times New Roman" w:hAnsi="Times New Roman" w:eastAsia="Times New Roman" w:cs="Times New Roman"/>
          <w:kern w:val="0"/>
          <w:sz w:val="24"/>
        </w:rPr>
      </w:pPr>
    </w:p>
    <w:p w14:paraId="4AFD6F00">
      <w:pPr>
        <w:pStyle w:val="29"/>
        <w:widowControl/>
        <w:spacing w:before="240" w:after="240"/>
        <w:jc w:val="left"/>
        <w:rPr>
          <w:rFonts w:ascii="Times New Roman" w:hAnsi="Times New Roman" w:eastAsia="Times New Roman" w:cs="Times New Roman"/>
          <w:kern w:val="0"/>
          <w:sz w:val="24"/>
        </w:rPr>
      </w:pPr>
    </w:p>
    <w:p w14:paraId="48873847">
      <w:pPr>
        <w:pStyle w:val="29"/>
        <w:widowControl/>
        <w:spacing w:before="240" w:after="240"/>
        <w:jc w:val="left"/>
        <w:rPr>
          <w:rFonts w:ascii="Times New Roman" w:hAnsi="Times New Roman" w:eastAsia="Times New Roman" w:cs="Times New Roman"/>
          <w:kern w:val="0"/>
          <w:sz w:val="24"/>
        </w:rPr>
      </w:pPr>
    </w:p>
    <w:p w14:paraId="46AF0C7B">
      <w:pPr>
        <w:pStyle w:val="29"/>
        <w:widowControl/>
        <w:spacing w:before="240" w:after="240"/>
        <w:jc w:val="left"/>
        <w:rPr>
          <w:rFonts w:ascii="Times New Roman" w:hAnsi="Times New Roman" w:eastAsia="Times New Roman" w:cs="Times New Roman"/>
          <w:kern w:val="0"/>
          <w:sz w:val="24"/>
        </w:rPr>
      </w:pPr>
    </w:p>
    <w:p w14:paraId="3168BCAE">
      <w:pPr>
        <w:pStyle w:val="29"/>
        <w:widowControl/>
        <w:spacing w:before="240" w:after="240"/>
        <w:jc w:val="left"/>
        <w:rPr>
          <w:rFonts w:ascii="Times New Roman" w:hAnsi="Times New Roman" w:eastAsia="Times New Roman" w:cs="Times New Roman"/>
          <w:kern w:val="0"/>
          <w:sz w:val="24"/>
        </w:rPr>
      </w:pPr>
    </w:p>
    <w:p w14:paraId="4F849F27">
      <w:pPr>
        <w:pStyle w:val="3"/>
        <w:keepNext w:val="0"/>
        <w:keepLines w:val="0"/>
        <w:spacing w:before="299" w:after="299" w:line="240" w:lineRule="auto"/>
        <w:ind w:firstLine="0" w:firstLineChars="0"/>
        <w:jc w:val="center"/>
        <w:rPr>
          <w:rFonts w:ascii="Times New Roman" w:hAnsi="Times New Roman" w:eastAsia="Times New Roman" w:cs="Times New Roman"/>
          <w:b/>
          <w:bCs/>
          <w:kern w:val="0"/>
          <w:sz w:val="36"/>
          <w:szCs w:val="36"/>
        </w:rPr>
      </w:pPr>
      <w:bookmarkStart w:id="151" w:name="_Toc256000158"/>
      <w:bookmarkStart w:id="152" w:name="_Toc256000080"/>
      <w:bookmarkStart w:id="153" w:name="_Toc256000053"/>
      <w:bookmarkStart w:id="154" w:name="_Toc256000026"/>
      <w:bookmarkStart w:id="155" w:name="_Toc256000104"/>
      <w:bookmarkStart w:id="156" w:name="_Toc256000131"/>
      <w:r>
        <w:rPr>
          <w:rFonts w:ascii="黑体" w:hAnsi="黑体" w:eastAsia="黑体" w:cs="黑体"/>
          <w:b w:val="0"/>
          <w:bCs w:val="0"/>
          <w:sz w:val="56"/>
          <w:szCs w:val="56"/>
        </w:rPr>
        <w:t>第五部分</w:t>
      </w:r>
      <w:r>
        <w:rPr>
          <w:rFonts w:ascii="黑体" w:hAnsi="黑体" w:eastAsia="黑体" w:cs="黑体"/>
          <w:b w:val="0"/>
          <w:bCs w:val="0"/>
          <w:sz w:val="56"/>
          <w:szCs w:val="56"/>
        </w:rPr>
        <w:br w:type="textWrapping"/>
      </w:r>
      <w:r>
        <w:rPr>
          <w:rFonts w:ascii="黑体" w:hAnsi="黑体" w:eastAsia="黑体" w:cs="黑体"/>
          <w:b w:val="0"/>
          <w:bCs w:val="0"/>
          <w:sz w:val="56"/>
          <w:szCs w:val="56"/>
        </w:rPr>
        <w:t>附件</w:t>
      </w:r>
      <w:bookmarkEnd w:id="151"/>
      <w:bookmarkEnd w:id="152"/>
      <w:bookmarkEnd w:id="153"/>
      <w:bookmarkEnd w:id="154"/>
      <w:bookmarkEnd w:id="155"/>
      <w:bookmarkEnd w:id="156"/>
    </w:p>
    <w:p w14:paraId="455A3AEA">
      <w:pPr>
        <w:sectPr>
          <w:footerReference r:id="rId21" w:type="default"/>
          <w:pgSz w:w="11906" w:h="16838"/>
          <w:pgMar w:top="1440" w:right="720" w:bottom="1440" w:left="720" w:header="720" w:footer="720" w:gutter="0"/>
          <w:cols w:space="720" w:num="1"/>
        </w:sectPr>
      </w:pPr>
    </w:p>
    <w:p w14:paraId="198478BD">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38432E2E">
      <w:pPr>
        <w:pStyle w:val="29"/>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《项目支出绩效自评表》</w:t>
      </w:r>
    </w:p>
    <w:p w14:paraId="29EB484F">
      <w:pPr>
        <w:widowControl/>
        <w:ind w:firstLine="640" w:firstLineChars="200"/>
        <w:jc w:val="both"/>
        <w:rPr>
          <w:rFonts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本单位2024年无相关单位自评项目，无《项目支出绩效自评表》</w:t>
      </w:r>
    </w:p>
    <w:p w14:paraId="0F562266">
      <w:pPr>
        <w:widowControl/>
        <w:jc w:val="center"/>
        <w:rPr>
          <w:rFonts w:ascii="Times New Roman" w:hAnsi="Times New Roman" w:eastAsia="Times New Roman" w:cs="Times New Roman"/>
          <w:kern w:val="0"/>
          <w:sz w:val="24"/>
        </w:rPr>
      </w:pPr>
    </w:p>
    <w:bookmarkEnd w:id="0"/>
    <w:p w14:paraId="681FBCB9">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22"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4BA048-126D-4EBD-8B81-C326C8B60B2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B039528-3C3E-442D-B6C5-3D29F686B7B3}"/>
  </w:font>
  <w:font w:name="仿宋">
    <w:panose1 w:val="02010609060101010101"/>
    <w:charset w:val="86"/>
    <w:family w:val="modern"/>
    <w:pitch w:val="default"/>
    <w:sig w:usb0="800002BF" w:usb1="38CF7CFA" w:usb2="00000016" w:usb3="00000000" w:csb0="00040001" w:csb1="00000000"/>
    <w:embedRegular r:id="rId3" w:fontKey="{EE8EF5DE-E6AF-4C90-B03A-92F28A4DFE7E}"/>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9082CD85-C211-4921-8E8E-E9DABFA2F24B}"/>
  </w:font>
  <w:font w:name="方正小标宋简体">
    <w:panose1 w:val="03000509000000000000"/>
    <w:charset w:val="86"/>
    <w:family w:val="auto"/>
    <w:pitch w:val="default"/>
    <w:sig w:usb0="00000001" w:usb1="080E0000" w:usb2="00000000" w:usb3="00000000" w:csb0="00040000" w:csb1="00000000"/>
    <w:embedRegular r:id="rId5" w:fontKey="{84164D28-1820-41BE-95EE-9B6A448E633C}"/>
  </w:font>
  <w:font w:name="楷体_GB2312">
    <w:panose1 w:val="02010609030101010101"/>
    <w:charset w:val="86"/>
    <w:family w:val="auto"/>
    <w:pitch w:val="default"/>
    <w:sig w:usb0="00000001" w:usb1="080E0000" w:usb2="00000000" w:usb3="00000000" w:csb0="00040000" w:csb1="00000000"/>
    <w:embedRegular r:id="rId6" w:fontKey="{513B6D5F-A120-47F0-A27B-A74854A855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940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BC40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08A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D587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22</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07F7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23</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22A9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24</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26C1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25</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CF16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31</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4863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32</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EFE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34</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7F3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35</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81A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F6B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37</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D87E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9D7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0B4B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8</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049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604D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12</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C177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CE9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D247E"/>
    <w:multiLevelType w:val="singleLevel"/>
    <w:tmpl w:val="273D24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compat>
    <w:useFELayout/>
    <w:splitPgBreakAndParaMark/>
    <w:compatSetting w:name="compatibilityMode" w:uri="http://schemas.microsoft.com/office/word" w:val="12"/>
  </w:compat>
  <w:rsids>
    <w:rsidRoot w:val="00000000"/>
    <w:rsid w:val="0BF010AC"/>
    <w:rsid w:val="0F865924"/>
    <w:rsid w:val="11F946DF"/>
    <w:rsid w:val="29BD3527"/>
    <w:rsid w:val="29E13353"/>
    <w:rsid w:val="2B24744C"/>
    <w:rsid w:val="39411259"/>
    <w:rsid w:val="617C2A5B"/>
    <w:rsid w:val="6A06480C"/>
    <w:rsid w:val="72B868C0"/>
    <w:rsid w:val="7B256ABC"/>
    <w:rsid w:val="7DB163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autoRedefine/>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autoRedefine/>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autoRedefine/>
    <w:qFormat/>
    <w:uiPriority w:val="0"/>
    <w:pPr>
      <w:ind w:left="1680"/>
      <w:jc w:val="left"/>
    </w:pPr>
    <w:rPr>
      <w:sz w:val="20"/>
      <w:szCs w:val="20"/>
    </w:r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p"/>
    <w:basedOn w:val="1"/>
    <w:qFormat/>
    <w:uiPriority w:val="0"/>
  </w:style>
  <w:style w:type="paragraph" w:customStyle="1" w:styleId="29">
    <w:name w:val="MsoNormal"/>
    <w:basedOn w:val="1"/>
    <w:qFormat/>
    <w:uiPriority w:val="0"/>
  </w:style>
  <w:style w:type="character" w:customStyle="1" w:styleId="30">
    <w:name w:val="15"/>
    <w:basedOn w:val="20"/>
    <w:qFormat/>
    <w:uiPriority w:val="0"/>
  </w:style>
  <w:style w:type="table" w:customStyle="1" w:styleId="31">
    <w:name w:val="MsoNormalTable mce-item-table"/>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4813</Words>
  <Characters>5526</Characters>
  <Lines>1</Lines>
  <Paragraphs>1</Paragraphs>
  <TotalTime>2</TotalTime>
  <ScaleCrop>false</ScaleCrop>
  <LinksUpToDate>false</LinksUpToDate>
  <CharactersWithSpaces>5700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Fang²</cp:lastModifiedBy>
  <cp:lastPrinted>2021-04-16T00:45:00Z</cp:lastPrinted>
  <dcterms:modified xsi:type="dcterms:W3CDTF">2025-09-26T01:35:33Z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66C67484C41D4C05B3487E28FB439B3F_13</vt:lpwstr>
  </property>
  <property fmtid="{D5CDD505-2E9C-101B-9397-08002B2CF9AE}" pid="3" name="KSOProductBuildVer">
    <vt:lpwstr>2052-12.1.0.22529</vt:lpwstr>
  </property>
  <property fmtid="{D5CDD505-2E9C-101B-9397-08002B2CF9AE}" pid="4" name="KSOTemplateDocerSaveRecord">
    <vt:lpwstr>eyJoZGlkIjoiZGYzMWZmMDk1ZTdiMjM4ZmJhNGJlMGIxNzZjYjE0ZjIiLCJ1c2VySWQiOiIxMTI1Mzg5NTE3In0=</vt:lpwstr>
  </property>
</Properties>
</file>