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8EF1F">
      <w:pPr>
        <w:jc w:val="center"/>
        <w:rPr>
          <w:rFonts w:hint="eastAsia" w:ascii="宋体" w:hAnsi="宋体" w:cs="宋体"/>
          <w:b/>
          <w:sz w:val="32"/>
          <w:szCs w:val="32"/>
        </w:rPr>
      </w:pPr>
      <w:r>
        <w:rPr>
          <w:rFonts w:hint="eastAsia" w:ascii="宋体" w:hAnsi="宋体" w:cs="宋体"/>
          <w:b/>
          <w:sz w:val="32"/>
          <w:szCs w:val="32"/>
          <w:lang w:eastAsia="zh-CN"/>
        </w:rPr>
        <w:t>兴化府历史文化街区物业管理服务类采购项目</w:t>
      </w:r>
      <w:r>
        <w:rPr>
          <w:rFonts w:hint="eastAsia" w:ascii="宋体" w:hAnsi="宋体" w:cs="宋体"/>
          <w:b/>
          <w:sz w:val="32"/>
          <w:szCs w:val="32"/>
        </w:rPr>
        <w:t>最高限价询价公告</w:t>
      </w:r>
    </w:p>
    <w:p w14:paraId="206A69CF">
      <w:pPr>
        <w:pStyle w:val="12"/>
      </w:pPr>
    </w:p>
    <w:p w14:paraId="1DB0D507">
      <w:pPr>
        <w:keepNext w:val="0"/>
        <w:keepLines w:val="0"/>
        <w:pageBreakBefore w:val="0"/>
        <w:kinsoku/>
        <w:wordWrap/>
        <w:overflowPunct/>
        <w:topLinePunct w:val="0"/>
        <w:autoSpaceDE/>
        <w:autoSpaceDN/>
        <w:bidi w:val="0"/>
        <w:adjustRightInd/>
        <w:snapToGrid w:val="0"/>
        <w:spacing w:line="400" w:lineRule="exact"/>
        <w:ind w:left="0" w:leftChars="0" w:right="0" w:rightChars="0" w:firstLine="487" w:firstLineChars="203"/>
        <w:textAlignment w:val="auto"/>
        <w:rPr>
          <w:rFonts w:hint="eastAsia" w:ascii="宋体" w:hAnsi="宋体" w:eastAsia="宋体" w:cs="宋体"/>
          <w:sz w:val="24"/>
          <w:highlight w:val="none"/>
          <w:shd w:val="clear" w:color="auto" w:fill="auto"/>
        </w:rPr>
      </w:pPr>
      <w:r>
        <w:rPr>
          <w:rFonts w:hint="eastAsia" w:ascii="宋体" w:hAnsi="宋体"/>
          <w:sz w:val="24"/>
          <w:highlight w:val="none"/>
          <w:u w:val="single"/>
          <w:shd w:val="clear" w:color="auto" w:fill="auto"/>
        </w:rPr>
        <w:t>福建中实建设项目管理有限公司</w:t>
      </w:r>
      <w:r>
        <w:rPr>
          <w:rFonts w:hint="eastAsia" w:ascii="宋体" w:hAnsi="宋体"/>
          <w:sz w:val="24"/>
          <w:highlight w:val="none"/>
          <w:shd w:val="clear" w:color="auto" w:fill="auto"/>
        </w:rPr>
        <w:t>受</w:t>
      </w:r>
      <w:r>
        <w:rPr>
          <w:rFonts w:hint="eastAsia" w:ascii="宋体" w:hAnsi="宋体"/>
          <w:sz w:val="24"/>
          <w:highlight w:val="none"/>
          <w:u w:val="single"/>
          <w:shd w:val="clear" w:color="auto" w:fill="auto"/>
        </w:rPr>
        <w:t xml:space="preserve"> </w:t>
      </w:r>
      <w:r>
        <w:rPr>
          <w:rFonts w:hint="eastAsia" w:ascii="宋体" w:hAnsi="宋体"/>
          <w:sz w:val="24"/>
          <w:highlight w:val="none"/>
          <w:u w:val="single"/>
          <w:shd w:val="clear" w:color="auto" w:fill="auto"/>
          <w:lang w:eastAsia="zh-CN"/>
        </w:rPr>
        <w:t>莆田市正美文旅投资有限公司</w:t>
      </w:r>
      <w:r>
        <w:rPr>
          <w:rFonts w:hint="eastAsia" w:ascii="宋体" w:hAnsi="宋体" w:eastAsia="宋体" w:cs="宋体"/>
          <w:sz w:val="24"/>
          <w:highlight w:val="none"/>
          <w:u w:val="single"/>
          <w:shd w:val="clear" w:color="auto" w:fill="auto"/>
        </w:rPr>
        <w:t xml:space="preserve"> </w:t>
      </w:r>
      <w:r>
        <w:rPr>
          <w:rFonts w:hint="eastAsia" w:ascii="宋体" w:hAnsi="宋体"/>
          <w:sz w:val="24"/>
          <w:highlight w:val="none"/>
          <w:shd w:val="clear" w:color="auto" w:fill="auto"/>
        </w:rPr>
        <w:t>委托并经上级批准，</w:t>
      </w:r>
      <w:r>
        <w:rPr>
          <w:rFonts w:hint="eastAsia" w:ascii="宋体" w:hAnsi="宋体" w:eastAsia="宋体" w:cs="宋体"/>
          <w:sz w:val="24"/>
          <w:highlight w:val="none"/>
          <w:shd w:val="clear" w:color="auto" w:fill="auto"/>
        </w:rPr>
        <w:t>对</w:t>
      </w:r>
      <w:r>
        <w:rPr>
          <w:rFonts w:hint="eastAsia" w:ascii="宋体" w:hAnsi="宋体" w:eastAsia="宋体" w:cs="宋体"/>
          <w:sz w:val="24"/>
          <w:highlight w:val="none"/>
          <w:u w:val="single"/>
          <w:shd w:val="clear" w:color="auto" w:fill="auto"/>
          <w:lang w:eastAsia="zh-CN"/>
        </w:rPr>
        <w:t>兴化府历史文化街区物业管理服务类采购项目</w:t>
      </w:r>
      <w:r>
        <w:rPr>
          <w:rFonts w:hint="eastAsia" w:ascii="宋体" w:hAnsi="宋体" w:eastAsia="宋体" w:cs="宋体"/>
          <w:sz w:val="24"/>
          <w:highlight w:val="none"/>
          <w:shd w:val="clear" w:color="auto" w:fill="auto"/>
        </w:rPr>
        <w:t>进行公开询价，欢迎合格的供应商参与报价。</w:t>
      </w:r>
    </w:p>
    <w:p w14:paraId="11CD9B73">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9" w:firstLineChars="203"/>
        <w:textAlignment w:val="auto"/>
        <w:rPr>
          <w:highlight w:val="none"/>
          <w:shd w:val="clear" w:color="auto" w:fill="auto"/>
        </w:rPr>
      </w:pPr>
      <w:r>
        <w:rPr>
          <w:rStyle w:val="16"/>
          <w:rFonts w:hint="eastAsia" w:ascii="宋体" w:hAnsi="宋体" w:eastAsia="宋体" w:cs="宋体"/>
          <w:highlight w:val="none"/>
          <w:shd w:val="clear" w:color="auto" w:fill="auto"/>
        </w:rPr>
        <w:t>一、报价人资格要求：</w:t>
      </w:r>
    </w:p>
    <w:p w14:paraId="34EEF5F3">
      <w:pPr>
        <w:keepNext w:val="0"/>
        <w:keepLines w:val="0"/>
        <w:pageBreakBefore w:val="0"/>
        <w:kinsoku/>
        <w:wordWrap/>
        <w:overflowPunct/>
        <w:topLinePunct w:val="0"/>
        <w:autoSpaceDE/>
        <w:autoSpaceDN/>
        <w:bidi w:val="0"/>
        <w:adjustRightInd/>
        <w:snapToGrid w:val="0"/>
        <w:spacing w:line="400" w:lineRule="exact"/>
        <w:ind w:left="0" w:leftChars="0" w:right="0" w:rightChars="0" w:firstLine="487" w:firstLineChars="203"/>
        <w:textAlignment w:val="auto"/>
        <w:rPr>
          <w:rFonts w:hint="eastAsia" w:ascii="宋体" w:hAnsi="宋体"/>
          <w:sz w:val="24"/>
          <w:highlight w:val="none"/>
          <w:shd w:val="clear" w:color="auto" w:fill="auto"/>
        </w:rPr>
      </w:pPr>
      <w:r>
        <w:rPr>
          <w:rFonts w:hint="eastAsia" w:ascii="宋体" w:hAnsi="宋体"/>
          <w:sz w:val="24"/>
          <w:highlight w:val="none"/>
          <w:shd w:val="clear" w:color="auto" w:fill="auto"/>
        </w:rPr>
        <w:t>1、报价人须提供合格有效的法人营业执照(副本)的有效复印件并加盖公章。</w:t>
      </w:r>
    </w:p>
    <w:p w14:paraId="25F1D9A6">
      <w:pPr>
        <w:keepNext w:val="0"/>
        <w:keepLines w:val="0"/>
        <w:pageBreakBefore w:val="0"/>
        <w:kinsoku/>
        <w:wordWrap/>
        <w:overflowPunct/>
        <w:topLinePunct w:val="0"/>
        <w:autoSpaceDE/>
        <w:autoSpaceDN/>
        <w:bidi w:val="0"/>
        <w:adjustRightInd/>
        <w:snapToGrid w:val="0"/>
        <w:spacing w:line="400" w:lineRule="exact"/>
        <w:ind w:left="0" w:leftChars="0" w:right="0" w:rightChars="0" w:firstLine="487" w:firstLineChars="203"/>
        <w:textAlignment w:val="auto"/>
        <w:rPr>
          <w:rFonts w:hint="eastAsia" w:ascii="宋体" w:hAnsi="宋体"/>
          <w:sz w:val="24"/>
          <w:highlight w:val="none"/>
          <w:shd w:val="clear" w:color="auto" w:fill="auto"/>
        </w:rPr>
      </w:pPr>
      <w:r>
        <w:rPr>
          <w:rFonts w:hint="eastAsia" w:ascii="宋体" w:hAnsi="宋体"/>
          <w:sz w:val="24"/>
          <w:highlight w:val="none"/>
          <w:shd w:val="clear" w:color="auto" w:fill="auto"/>
        </w:rPr>
        <w:t>2、近两年内未因不良行为被相关行政部门通报或有不良行为记录的。</w:t>
      </w:r>
    </w:p>
    <w:p w14:paraId="3C3213B4">
      <w:pPr>
        <w:keepNext w:val="0"/>
        <w:keepLines w:val="0"/>
        <w:pageBreakBefore w:val="0"/>
        <w:kinsoku/>
        <w:wordWrap/>
        <w:overflowPunct/>
        <w:topLinePunct w:val="0"/>
        <w:autoSpaceDE/>
        <w:autoSpaceDN/>
        <w:bidi w:val="0"/>
        <w:adjustRightInd/>
        <w:snapToGrid w:val="0"/>
        <w:spacing w:line="400" w:lineRule="exact"/>
        <w:ind w:left="0" w:leftChars="0" w:right="0" w:rightChars="0" w:firstLine="487" w:firstLineChars="203"/>
        <w:textAlignment w:val="auto"/>
        <w:rPr>
          <w:rFonts w:hint="eastAsia" w:ascii="宋体" w:hAnsi="宋体"/>
          <w:sz w:val="24"/>
          <w:highlight w:val="none"/>
          <w:shd w:val="clear" w:color="auto" w:fill="auto"/>
        </w:rPr>
      </w:pPr>
      <w:r>
        <w:rPr>
          <w:rFonts w:hint="eastAsia" w:ascii="宋体" w:hAnsi="宋体"/>
          <w:sz w:val="24"/>
          <w:highlight w:val="none"/>
          <w:shd w:val="clear" w:color="auto" w:fill="auto"/>
        </w:rPr>
        <w:t>3、报价函需加盖各报价单位的公章。</w:t>
      </w:r>
    </w:p>
    <w:p w14:paraId="2C4AF097">
      <w:pPr>
        <w:keepNext w:val="0"/>
        <w:keepLines w:val="0"/>
        <w:pageBreakBefore w:val="0"/>
        <w:kinsoku/>
        <w:wordWrap/>
        <w:overflowPunct/>
        <w:topLinePunct w:val="0"/>
        <w:autoSpaceDE/>
        <w:autoSpaceDN/>
        <w:bidi w:val="0"/>
        <w:adjustRightInd/>
        <w:snapToGrid w:val="0"/>
        <w:spacing w:line="400" w:lineRule="exact"/>
        <w:ind w:left="0" w:leftChars="0" w:right="0" w:rightChars="0" w:firstLine="489" w:firstLineChars="203"/>
        <w:textAlignment w:val="auto"/>
        <w:rPr>
          <w:rFonts w:hint="eastAsia" w:ascii="宋体" w:hAnsi="宋体"/>
          <w:b/>
          <w:bCs/>
          <w:sz w:val="24"/>
          <w:highlight w:val="none"/>
          <w:shd w:val="clear" w:color="auto" w:fill="auto"/>
        </w:rPr>
      </w:pPr>
      <w:r>
        <w:rPr>
          <w:rFonts w:hint="eastAsia" w:ascii="宋体" w:hAnsi="宋体"/>
          <w:b/>
          <w:bCs/>
          <w:sz w:val="24"/>
          <w:highlight w:val="none"/>
          <w:shd w:val="clear" w:color="auto" w:fill="auto"/>
        </w:rPr>
        <w:t>4、不接受联合体报价。</w:t>
      </w:r>
    </w:p>
    <w:p w14:paraId="6BAD2EC7">
      <w:pPr>
        <w:keepNext w:val="0"/>
        <w:keepLines w:val="0"/>
        <w:pageBreakBefore w:val="0"/>
        <w:kinsoku/>
        <w:wordWrap/>
        <w:overflowPunct/>
        <w:topLinePunct w:val="0"/>
        <w:autoSpaceDE/>
        <w:autoSpaceDN/>
        <w:bidi w:val="0"/>
        <w:adjustRightInd/>
        <w:snapToGrid w:val="0"/>
        <w:spacing w:line="400" w:lineRule="exact"/>
        <w:ind w:left="0" w:leftChars="0" w:right="0" w:rightChars="0" w:firstLine="489" w:firstLineChars="203"/>
        <w:textAlignment w:val="auto"/>
        <w:rPr>
          <w:rFonts w:hint="eastAsia" w:ascii="宋体" w:hAnsi="宋体"/>
          <w:b/>
          <w:bCs/>
          <w:sz w:val="24"/>
          <w:highlight w:val="none"/>
          <w:shd w:val="clear" w:color="auto" w:fill="auto"/>
        </w:rPr>
      </w:pPr>
      <w:r>
        <w:rPr>
          <w:rFonts w:hint="eastAsia" w:ascii="宋体" w:hAnsi="宋体"/>
          <w:b/>
          <w:bCs/>
          <w:sz w:val="24"/>
          <w:highlight w:val="none"/>
          <w:shd w:val="clear" w:color="auto" w:fill="auto"/>
        </w:rPr>
        <w:t>5、本次报价仅作为最高限价设定的参考报价，不作为评标的依据。</w:t>
      </w:r>
    </w:p>
    <w:p w14:paraId="42A3B512">
      <w:pPr>
        <w:keepNext w:val="0"/>
        <w:keepLines w:val="0"/>
        <w:pageBreakBefore w:val="0"/>
        <w:kinsoku/>
        <w:wordWrap/>
        <w:overflowPunct/>
        <w:topLinePunct w:val="0"/>
        <w:autoSpaceDE/>
        <w:autoSpaceDN/>
        <w:bidi w:val="0"/>
        <w:adjustRightInd/>
        <w:snapToGrid w:val="0"/>
        <w:spacing w:line="400" w:lineRule="exact"/>
        <w:ind w:left="0" w:leftChars="0" w:right="0" w:rightChars="0" w:firstLine="489" w:firstLineChars="203"/>
        <w:textAlignment w:val="auto"/>
        <w:rPr>
          <w:rFonts w:hint="eastAsia" w:ascii="宋体" w:hAnsi="宋体"/>
          <w:b/>
          <w:sz w:val="24"/>
          <w:highlight w:val="none"/>
          <w:shd w:val="clear" w:color="auto" w:fill="auto"/>
        </w:rPr>
      </w:pPr>
      <w:r>
        <w:rPr>
          <w:rStyle w:val="16"/>
          <w:rFonts w:hint="eastAsia" w:ascii="宋体" w:hAnsi="宋体" w:eastAsia="宋体" w:cs="宋体"/>
          <w:sz w:val="24"/>
          <w:highlight w:val="none"/>
          <w:shd w:val="clear" w:color="auto" w:fill="auto"/>
        </w:rPr>
        <w:t>二、时间安排</w:t>
      </w:r>
      <w:r>
        <w:rPr>
          <w:rFonts w:hint="eastAsia" w:ascii="宋体" w:hAnsi="宋体"/>
          <w:b/>
          <w:sz w:val="24"/>
          <w:highlight w:val="none"/>
          <w:shd w:val="clear" w:color="auto" w:fill="auto"/>
        </w:rPr>
        <w:t>：</w:t>
      </w:r>
    </w:p>
    <w:p w14:paraId="7ED493A9">
      <w:pPr>
        <w:keepNext w:val="0"/>
        <w:keepLines w:val="0"/>
        <w:pageBreakBefore w:val="0"/>
        <w:kinsoku/>
        <w:wordWrap/>
        <w:overflowPunct/>
        <w:topLinePunct w:val="0"/>
        <w:autoSpaceDE/>
        <w:autoSpaceDN/>
        <w:bidi w:val="0"/>
        <w:adjustRightInd/>
        <w:snapToGrid w:val="0"/>
        <w:spacing w:line="400" w:lineRule="exact"/>
        <w:ind w:left="0" w:leftChars="0" w:right="0" w:rightChars="0" w:firstLine="487" w:firstLineChars="203"/>
        <w:textAlignment w:val="auto"/>
        <w:rPr>
          <w:rFonts w:hint="eastAsia" w:ascii="宋体" w:hAnsi="宋体"/>
          <w:sz w:val="24"/>
          <w:highlight w:val="none"/>
          <w:shd w:val="clear" w:color="auto" w:fill="auto"/>
        </w:rPr>
      </w:pPr>
      <w:r>
        <w:rPr>
          <w:rFonts w:hint="eastAsia" w:ascii="宋体" w:hAnsi="宋体"/>
          <w:sz w:val="24"/>
          <w:highlight w:val="none"/>
          <w:shd w:val="clear" w:color="auto" w:fill="auto"/>
        </w:rPr>
        <w:t>1、询价公告时间：</w:t>
      </w:r>
      <w:r>
        <w:rPr>
          <w:rFonts w:hint="eastAsia" w:ascii="宋体" w:hAnsi="宋体"/>
          <w:sz w:val="24"/>
          <w:highlight w:val="none"/>
          <w:shd w:val="clear" w:color="auto" w:fill="auto"/>
          <w:lang w:eastAsia="zh-CN"/>
        </w:rPr>
        <w:t>2025年</w:t>
      </w:r>
      <w:r>
        <w:rPr>
          <w:rFonts w:hint="eastAsia" w:ascii="宋体" w:hAnsi="宋体"/>
          <w:sz w:val="24"/>
          <w:highlight w:val="none"/>
          <w:shd w:val="clear" w:color="auto" w:fill="auto"/>
          <w:lang w:val="en-US" w:eastAsia="zh-CN"/>
        </w:rPr>
        <w:t>11</w:t>
      </w:r>
      <w:r>
        <w:rPr>
          <w:rFonts w:hint="eastAsia" w:ascii="宋体" w:hAnsi="宋体"/>
          <w:sz w:val="24"/>
          <w:highlight w:val="none"/>
          <w:shd w:val="clear" w:color="auto" w:fill="auto"/>
        </w:rPr>
        <w:t>月</w:t>
      </w:r>
      <w:r>
        <w:rPr>
          <w:rFonts w:hint="eastAsia" w:ascii="宋体" w:hAnsi="宋体"/>
          <w:sz w:val="24"/>
          <w:highlight w:val="none"/>
          <w:shd w:val="clear" w:color="auto" w:fill="auto"/>
          <w:lang w:val="en-US" w:eastAsia="zh-CN"/>
        </w:rPr>
        <w:t>19</w:t>
      </w:r>
      <w:r>
        <w:rPr>
          <w:rFonts w:hint="eastAsia" w:ascii="宋体" w:hAnsi="宋体"/>
          <w:sz w:val="24"/>
          <w:highlight w:val="none"/>
          <w:shd w:val="clear" w:color="auto" w:fill="auto"/>
        </w:rPr>
        <w:t>日至</w:t>
      </w:r>
      <w:r>
        <w:rPr>
          <w:rFonts w:hint="eastAsia" w:ascii="宋体" w:hAnsi="宋体"/>
          <w:sz w:val="24"/>
          <w:highlight w:val="none"/>
          <w:shd w:val="clear" w:color="auto" w:fill="auto"/>
          <w:lang w:eastAsia="zh-CN"/>
        </w:rPr>
        <w:t>2025年</w:t>
      </w:r>
      <w:r>
        <w:rPr>
          <w:rFonts w:hint="eastAsia" w:ascii="宋体" w:hAnsi="宋体"/>
          <w:sz w:val="24"/>
          <w:highlight w:val="none"/>
          <w:shd w:val="clear" w:color="auto" w:fill="auto"/>
          <w:lang w:val="en-US" w:eastAsia="zh-CN"/>
        </w:rPr>
        <w:t xml:space="preserve">11 </w:t>
      </w:r>
      <w:r>
        <w:rPr>
          <w:rFonts w:hint="eastAsia" w:ascii="宋体" w:hAnsi="宋体"/>
          <w:sz w:val="24"/>
          <w:highlight w:val="none"/>
          <w:shd w:val="clear" w:color="auto" w:fill="auto"/>
        </w:rPr>
        <w:t>月</w:t>
      </w:r>
      <w:r>
        <w:rPr>
          <w:rFonts w:hint="eastAsia" w:ascii="宋体" w:hAnsi="宋体"/>
          <w:sz w:val="24"/>
          <w:highlight w:val="none"/>
          <w:shd w:val="clear" w:color="auto" w:fill="auto"/>
          <w:lang w:val="en-US" w:eastAsia="zh-CN"/>
        </w:rPr>
        <w:t>24</w:t>
      </w:r>
      <w:r>
        <w:rPr>
          <w:rFonts w:hint="eastAsia" w:ascii="宋体" w:hAnsi="宋体"/>
          <w:sz w:val="24"/>
          <w:highlight w:val="none"/>
          <w:shd w:val="clear" w:color="auto" w:fill="auto"/>
        </w:rPr>
        <w:t>日（节假日及公休日除外）上午08：00-12：00，下午14:30-17:30（北京时间，以下同）；</w:t>
      </w:r>
    </w:p>
    <w:p w14:paraId="722CAD83">
      <w:pPr>
        <w:keepNext w:val="0"/>
        <w:keepLines w:val="0"/>
        <w:pageBreakBefore w:val="0"/>
        <w:kinsoku/>
        <w:wordWrap/>
        <w:overflowPunct/>
        <w:topLinePunct w:val="0"/>
        <w:autoSpaceDE/>
        <w:autoSpaceDN/>
        <w:bidi w:val="0"/>
        <w:adjustRightInd/>
        <w:snapToGrid w:val="0"/>
        <w:spacing w:line="400" w:lineRule="exact"/>
        <w:ind w:left="0" w:leftChars="0" w:right="0" w:rightChars="0" w:firstLine="487" w:firstLineChars="203"/>
        <w:textAlignment w:val="auto"/>
        <w:rPr>
          <w:rFonts w:hint="eastAsia" w:ascii="宋体" w:hAnsi="宋体"/>
          <w:sz w:val="24"/>
          <w:highlight w:val="none"/>
          <w:shd w:val="clear" w:color="auto" w:fill="auto"/>
        </w:rPr>
      </w:pPr>
      <w:r>
        <w:rPr>
          <w:rFonts w:hint="eastAsia" w:ascii="宋体" w:hAnsi="宋体"/>
          <w:sz w:val="24"/>
          <w:highlight w:val="none"/>
          <w:shd w:val="clear" w:color="auto" w:fill="auto"/>
        </w:rPr>
        <w:t>2、报价递交时间：</w:t>
      </w:r>
      <w:r>
        <w:rPr>
          <w:rFonts w:hint="eastAsia" w:ascii="宋体" w:hAnsi="宋体"/>
          <w:sz w:val="24"/>
          <w:highlight w:val="none"/>
          <w:shd w:val="clear" w:color="auto" w:fill="auto"/>
          <w:lang w:eastAsia="zh-CN"/>
        </w:rPr>
        <w:t>2025年</w:t>
      </w:r>
      <w:r>
        <w:rPr>
          <w:rFonts w:hint="eastAsia" w:ascii="宋体" w:hAnsi="宋体"/>
          <w:sz w:val="24"/>
          <w:highlight w:val="none"/>
          <w:shd w:val="clear" w:color="auto" w:fill="auto"/>
          <w:lang w:val="en-US" w:eastAsia="zh-CN"/>
        </w:rPr>
        <w:t>11</w:t>
      </w:r>
      <w:r>
        <w:rPr>
          <w:rFonts w:hint="eastAsia" w:ascii="宋体" w:hAnsi="宋体"/>
          <w:sz w:val="24"/>
          <w:highlight w:val="none"/>
          <w:shd w:val="clear" w:color="auto" w:fill="auto"/>
        </w:rPr>
        <w:t>月</w:t>
      </w:r>
      <w:r>
        <w:rPr>
          <w:rFonts w:hint="eastAsia" w:ascii="宋体" w:hAnsi="宋体"/>
          <w:sz w:val="24"/>
          <w:highlight w:val="none"/>
          <w:shd w:val="clear" w:color="auto" w:fill="auto"/>
          <w:lang w:val="en-US" w:eastAsia="zh-CN"/>
        </w:rPr>
        <w:t>19</w:t>
      </w:r>
      <w:r>
        <w:rPr>
          <w:rFonts w:hint="eastAsia" w:ascii="宋体" w:hAnsi="宋体"/>
          <w:sz w:val="24"/>
          <w:highlight w:val="none"/>
          <w:shd w:val="clear" w:color="auto" w:fill="auto"/>
        </w:rPr>
        <w:t>日至</w:t>
      </w:r>
      <w:r>
        <w:rPr>
          <w:rFonts w:hint="eastAsia" w:ascii="宋体" w:hAnsi="宋体"/>
          <w:sz w:val="24"/>
          <w:highlight w:val="none"/>
          <w:shd w:val="clear" w:color="auto" w:fill="auto"/>
          <w:lang w:eastAsia="zh-CN"/>
        </w:rPr>
        <w:t>2025年</w:t>
      </w:r>
      <w:r>
        <w:rPr>
          <w:rFonts w:hint="eastAsia" w:ascii="宋体" w:hAnsi="宋体"/>
          <w:sz w:val="24"/>
          <w:highlight w:val="none"/>
          <w:shd w:val="clear" w:color="auto" w:fill="auto"/>
          <w:lang w:val="en-US" w:eastAsia="zh-CN"/>
        </w:rPr>
        <w:t xml:space="preserve">11 </w:t>
      </w:r>
      <w:r>
        <w:rPr>
          <w:rFonts w:hint="eastAsia" w:ascii="宋体" w:hAnsi="宋体"/>
          <w:sz w:val="24"/>
          <w:highlight w:val="none"/>
          <w:shd w:val="clear" w:color="auto" w:fill="auto"/>
        </w:rPr>
        <w:t>月</w:t>
      </w:r>
      <w:r>
        <w:rPr>
          <w:rFonts w:hint="eastAsia" w:ascii="宋体" w:hAnsi="宋体"/>
          <w:sz w:val="24"/>
          <w:highlight w:val="none"/>
          <w:shd w:val="clear" w:color="auto" w:fill="auto"/>
          <w:lang w:val="en-US" w:eastAsia="zh-CN"/>
        </w:rPr>
        <w:t>24</w:t>
      </w:r>
      <w:r>
        <w:rPr>
          <w:rFonts w:hint="eastAsia" w:ascii="宋体" w:hAnsi="宋体"/>
          <w:sz w:val="24"/>
          <w:highlight w:val="none"/>
          <w:shd w:val="clear" w:color="auto" w:fill="auto"/>
        </w:rPr>
        <w:t>日</w:t>
      </w:r>
      <w:r>
        <w:rPr>
          <w:rFonts w:hint="eastAsia" w:ascii="宋体" w:hAnsi="宋体"/>
          <w:sz w:val="24"/>
          <w:highlight w:val="none"/>
          <w:shd w:val="clear" w:color="auto" w:fill="auto"/>
        </w:rPr>
        <w:t>17：30之前，逾期送达概不接受。</w:t>
      </w:r>
    </w:p>
    <w:p w14:paraId="638C7C4F">
      <w:pPr>
        <w:keepNext w:val="0"/>
        <w:keepLines w:val="0"/>
        <w:pageBreakBefore w:val="0"/>
        <w:kinsoku/>
        <w:wordWrap/>
        <w:overflowPunct/>
        <w:topLinePunct w:val="0"/>
        <w:autoSpaceDE/>
        <w:autoSpaceDN/>
        <w:bidi w:val="0"/>
        <w:adjustRightInd/>
        <w:snapToGrid w:val="0"/>
        <w:spacing w:line="400" w:lineRule="exact"/>
        <w:ind w:left="0" w:leftChars="0" w:right="0" w:rightChars="0" w:firstLine="489" w:firstLineChars="203"/>
        <w:textAlignment w:val="auto"/>
        <w:rPr>
          <w:rFonts w:hint="eastAsia" w:ascii="宋体" w:hAnsi="宋体"/>
          <w:b/>
          <w:bCs/>
          <w:sz w:val="24"/>
          <w:highlight w:val="none"/>
          <w:shd w:val="clear" w:color="auto" w:fill="auto"/>
        </w:rPr>
      </w:pPr>
      <w:r>
        <w:rPr>
          <w:rStyle w:val="16"/>
          <w:rFonts w:hint="eastAsia" w:ascii="宋体" w:hAnsi="宋体" w:cs="宋体"/>
          <w:sz w:val="24"/>
          <w:highlight w:val="none"/>
          <w:shd w:val="clear" w:color="auto" w:fill="auto"/>
        </w:rPr>
        <w:t>三、</w:t>
      </w:r>
      <w:r>
        <w:rPr>
          <w:rFonts w:hint="eastAsia" w:ascii="宋体" w:hAnsi="宋体"/>
          <w:b/>
          <w:bCs/>
          <w:sz w:val="24"/>
          <w:highlight w:val="none"/>
          <w:shd w:val="clear" w:color="auto" w:fill="auto"/>
        </w:rPr>
        <w:t>报价文件递交方式及地点：</w:t>
      </w:r>
    </w:p>
    <w:p w14:paraId="1695F24C">
      <w:pPr>
        <w:keepNext w:val="0"/>
        <w:keepLines w:val="0"/>
        <w:pageBreakBefore w:val="0"/>
        <w:kinsoku/>
        <w:wordWrap/>
        <w:overflowPunct/>
        <w:topLinePunct w:val="0"/>
        <w:autoSpaceDE/>
        <w:autoSpaceDN/>
        <w:bidi w:val="0"/>
        <w:adjustRightInd/>
        <w:snapToGrid w:val="0"/>
        <w:spacing w:line="400" w:lineRule="exact"/>
        <w:ind w:left="0" w:leftChars="0" w:right="0" w:rightChars="0" w:firstLine="487" w:firstLineChars="203"/>
        <w:textAlignment w:val="auto"/>
        <w:rPr>
          <w:rFonts w:hint="eastAsia" w:ascii="宋体" w:hAnsi="宋体"/>
          <w:sz w:val="24"/>
          <w:highlight w:val="none"/>
          <w:shd w:val="clear" w:color="auto" w:fill="auto"/>
        </w:rPr>
      </w:pPr>
      <w:r>
        <w:rPr>
          <w:rFonts w:hint="eastAsia" w:ascii="宋体" w:hAnsi="宋体"/>
          <w:sz w:val="24"/>
          <w:highlight w:val="none"/>
          <w:shd w:val="clear" w:color="auto" w:fill="auto"/>
        </w:rPr>
        <w:t>1、报价人需将加盖公章的报价文件扫描件及合格有效的法人营业执照(副本)复印件扫描件一并通过电子邮件</w:t>
      </w:r>
      <w:r>
        <w:rPr>
          <w:highlight w:val="none"/>
          <w:shd w:val="clear" w:color="auto" w:fill="auto"/>
        </w:rPr>
        <w:fldChar w:fldCharType="begin"/>
      </w:r>
      <w:r>
        <w:rPr>
          <w:highlight w:val="none"/>
          <w:shd w:val="clear" w:color="auto" w:fill="auto"/>
        </w:rPr>
        <w:instrText xml:space="preserve"> HYPERLINK "mailto:的形式发送至5093148@163.com邮箱，逾期送达概不接受。" </w:instrText>
      </w:r>
      <w:r>
        <w:rPr>
          <w:highlight w:val="none"/>
          <w:shd w:val="clear" w:color="auto" w:fill="auto"/>
        </w:rPr>
        <w:fldChar w:fldCharType="separate"/>
      </w:r>
      <w:r>
        <w:rPr>
          <w:rFonts w:hint="eastAsia" w:ascii="宋体" w:hAnsi="宋体"/>
          <w:sz w:val="24"/>
          <w:highlight w:val="none"/>
          <w:shd w:val="clear" w:color="auto" w:fill="auto"/>
        </w:rPr>
        <w:t>的形式发送至</w:t>
      </w:r>
      <w:r>
        <w:rPr>
          <w:rFonts w:hint="eastAsia" w:ascii="宋体" w:hAnsi="宋体"/>
          <w:sz w:val="24"/>
          <w:highlight w:val="none"/>
          <w:u w:val="single"/>
          <w:shd w:val="clear" w:color="auto" w:fill="auto"/>
        </w:rPr>
        <w:t>fjzs2729522@163.com</w:t>
      </w:r>
      <w:r>
        <w:rPr>
          <w:rFonts w:hint="eastAsia" w:ascii="宋体" w:hAnsi="宋体"/>
          <w:sz w:val="24"/>
          <w:highlight w:val="none"/>
          <w:shd w:val="clear" w:color="auto" w:fill="auto"/>
        </w:rPr>
        <w:t>邮箱</w:t>
      </w:r>
      <w:r>
        <w:rPr>
          <w:rFonts w:hint="eastAsia" w:ascii="宋体" w:hAnsi="宋体" w:eastAsia="宋体" w:cs="宋体"/>
          <w:sz w:val="24"/>
          <w:highlight w:val="none"/>
          <w:shd w:val="clear" w:color="auto" w:fill="auto"/>
        </w:rPr>
        <w:t>（所有报价单位应将可复制版本（</w:t>
      </w:r>
      <w:r>
        <w:rPr>
          <w:rFonts w:hint="eastAsia" w:ascii="宋体" w:hAnsi="宋体" w:eastAsia="宋体" w:cs="宋体"/>
          <w:i w:val="0"/>
          <w:caps w:val="0"/>
          <w:color w:val="333333"/>
          <w:spacing w:val="0"/>
          <w:sz w:val="24"/>
          <w:szCs w:val="24"/>
          <w:highlight w:val="none"/>
          <w:shd w:val="clear" w:color="auto" w:fill="auto"/>
        </w:rPr>
        <w:t>EXCLE表格形式或word表格形式</w:t>
      </w:r>
      <w:r>
        <w:rPr>
          <w:rFonts w:hint="eastAsia" w:ascii="宋体" w:hAnsi="宋体" w:eastAsia="宋体" w:cs="宋体"/>
          <w:sz w:val="24"/>
          <w:highlight w:val="none"/>
          <w:shd w:val="clear" w:color="auto" w:fill="auto"/>
        </w:rPr>
        <w:t>）的报价材料一并发送至此邮箱）</w:t>
      </w:r>
      <w:r>
        <w:rPr>
          <w:rFonts w:hint="eastAsia" w:ascii="宋体" w:hAnsi="宋体"/>
          <w:sz w:val="24"/>
          <w:highlight w:val="none"/>
          <w:shd w:val="clear" w:color="auto" w:fill="auto"/>
        </w:rPr>
        <w:t>，逾期送达概不接受。</w:t>
      </w:r>
      <w:r>
        <w:rPr>
          <w:rFonts w:hint="eastAsia" w:ascii="宋体" w:hAnsi="宋体"/>
          <w:sz w:val="24"/>
          <w:highlight w:val="none"/>
          <w:shd w:val="clear" w:color="auto" w:fill="auto"/>
        </w:rPr>
        <w:fldChar w:fldCharType="end"/>
      </w:r>
      <w:r>
        <w:rPr>
          <w:rFonts w:hint="eastAsia" w:ascii="宋体" w:hAnsi="宋体"/>
          <w:sz w:val="24"/>
          <w:highlight w:val="none"/>
          <w:shd w:val="clear" w:color="auto" w:fill="auto"/>
        </w:rPr>
        <w:t xml:space="preserve"> </w:t>
      </w:r>
    </w:p>
    <w:p w14:paraId="07048BE4">
      <w:pPr>
        <w:keepNext w:val="0"/>
        <w:keepLines w:val="0"/>
        <w:pageBreakBefore w:val="0"/>
        <w:kinsoku/>
        <w:wordWrap/>
        <w:overflowPunct/>
        <w:topLinePunct w:val="0"/>
        <w:autoSpaceDE/>
        <w:autoSpaceDN/>
        <w:bidi w:val="0"/>
        <w:adjustRightInd/>
        <w:snapToGrid w:val="0"/>
        <w:spacing w:line="400" w:lineRule="exact"/>
        <w:ind w:left="0" w:leftChars="0" w:right="0" w:rightChars="0" w:firstLine="487" w:firstLineChars="203"/>
        <w:textAlignment w:val="auto"/>
        <w:rPr>
          <w:rFonts w:hint="eastAsia" w:ascii="宋体" w:hAnsi="宋体"/>
          <w:sz w:val="24"/>
          <w:highlight w:val="none"/>
          <w:shd w:val="clear" w:color="auto" w:fill="auto"/>
        </w:rPr>
      </w:pPr>
      <w:r>
        <w:rPr>
          <w:rFonts w:hint="eastAsia" w:ascii="宋体" w:hAnsi="宋体"/>
          <w:sz w:val="24"/>
          <w:highlight w:val="none"/>
          <w:shd w:val="clear" w:color="auto" w:fill="auto"/>
        </w:rPr>
        <w:t>2、纸质文件一式三份，需在密封袋骑缝密封处加盖单位公章，密封文件袋封面须注明采购包号，递交单位全称。</w:t>
      </w:r>
    </w:p>
    <w:p w14:paraId="10A6CD83">
      <w:pPr>
        <w:keepNext w:val="0"/>
        <w:keepLines w:val="0"/>
        <w:pageBreakBefore w:val="0"/>
        <w:kinsoku/>
        <w:wordWrap/>
        <w:overflowPunct/>
        <w:topLinePunct w:val="0"/>
        <w:autoSpaceDE/>
        <w:autoSpaceDN/>
        <w:bidi w:val="0"/>
        <w:adjustRightInd/>
        <w:snapToGrid w:val="0"/>
        <w:spacing w:line="400" w:lineRule="exact"/>
        <w:ind w:left="0" w:leftChars="0" w:right="0" w:rightChars="0" w:firstLine="487" w:firstLineChars="203"/>
        <w:textAlignment w:val="auto"/>
        <w:rPr>
          <w:rFonts w:hint="eastAsia" w:ascii="宋体" w:hAnsi="宋体"/>
          <w:sz w:val="24"/>
          <w:highlight w:val="none"/>
          <w:shd w:val="clear" w:color="auto" w:fill="auto"/>
        </w:rPr>
      </w:pPr>
      <w:r>
        <w:rPr>
          <w:rFonts w:hint="eastAsia" w:ascii="宋体" w:hAnsi="宋体"/>
          <w:sz w:val="24"/>
          <w:highlight w:val="none"/>
          <w:shd w:val="clear" w:color="auto" w:fill="auto"/>
          <w:lang w:val="en-US" w:eastAsia="zh-CN"/>
        </w:rPr>
        <w:t>3、</w:t>
      </w:r>
      <w:r>
        <w:rPr>
          <w:rFonts w:hint="eastAsia" w:ascii="宋体" w:hAnsi="宋体"/>
          <w:sz w:val="24"/>
          <w:highlight w:val="none"/>
          <w:shd w:val="clear" w:color="auto" w:fill="auto"/>
        </w:rPr>
        <w:t>所有的报价文件须加盖公章，纸质文件的扫描件与纸质文件不一致时以纸质文件为准。</w:t>
      </w:r>
    </w:p>
    <w:p w14:paraId="7F9BE426">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9" w:firstLineChars="203"/>
        <w:textAlignment w:val="auto"/>
        <w:rPr>
          <w:highlight w:val="none"/>
          <w:shd w:val="clear" w:color="auto" w:fill="auto"/>
        </w:rPr>
      </w:pPr>
      <w:r>
        <w:rPr>
          <w:rStyle w:val="16"/>
          <w:rFonts w:hint="eastAsia" w:ascii="宋体" w:hAnsi="宋体" w:eastAsia="宋体" w:cs="宋体"/>
          <w:highlight w:val="none"/>
          <w:shd w:val="clear" w:color="auto" w:fill="auto"/>
          <w:lang w:val="en-US" w:eastAsia="zh-CN"/>
        </w:rPr>
        <w:t>四</w:t>
      </w:r>
      <w:r>
        <w:rPr>
          <w:rStyle w:val="16"/>
          <w:rFonts w:hint="eastAsia" w:ascii="宋体" w:hAnsi="宋体" w:eastAsia="宋体" w:cs="宋体"/>
          <w:highlight w:val="none"/>
          <w:shd w:val="clear" w:color="auto" w:fill="auto"/>
        </w:rPr>
        <w:t>、报价须知：</w:t>
      </w:r>
    </w:p>
    <w:p w14:paraId="4070B4AD">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0" w:firstLineChars="200"/>
        <w:textAlignment w:val="auto"/>
        <w:rPr>
          <w:rFonts w:hint="eastAsia" w:ascii="宋体" w:hAnsi="宋体" w:eastAsiaTheme="minorEastAsia" w:cstheme="minorBidi"/>
          <w:kern w:val="2"/>
          <w:sz w:val="24"/>
          <w:szCs w:val="24"/>
          <w:highlight w:val="none"/>
          <w:shd w:val="clear" w:color="auto" w:fill="auto"/>
          <w:lang w:val="en-US" w:eastAsia="zh-CN" w:bidi="ar-SA"/>
        </w:rPr>
      </w:pPr>
      <w:r>
        <w:rPr>
          <w:rFonts w:hint="eastAsia" w:ascii="宋体" w:hAnsi="宋体" w:eastAsiaTheme="minorEastAsia" w:cstheme="minorBidi"/>
          <w:kern w:val="2"/>
          <w:sz w:val="24"/>
          <w:szCs w:val="24"/>
          <w:highlight w:val="none"/>
          <w:shd w:val="clear" w:color="auto" w:fill="auto"/>
          <w:lang w:val="en-US" w:eastAsia="zh-CN" w:bidi="ar-SA"/>
        </w:rPr>
        <w:t>1、本次报价结果仅作为最高限价；</w:t>
      </w:r>
    </w:p>
    <w:p w14:paraId="71AD0A9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textAlignment w:val="auto"/>
        <w:rPr>
          <w:rFonts w:hint="eastAsia" w:ascii="宋体" w:hAnsi="宋体" w:eastAsiaTheme="minorEastAsia" w:cstheme="minorBidi"/>
          <w:kern w:val="2"/>
          <w:sz w:val="24"/>
          <w:szCs w:val="24"/>
          <w:highlight w:val="none"/>
          <w:shd w:val="clear" w:color="auto" w:fill="auto"/>
          <w:lang w:val="en-US" w:eastAsia="zh-CN" w:bidi="ar-SA"/>
        </w:rPr>
      </w:pPr>
      <w:r>
        <w:rPr>
          <w:rFonts w:hint="eastAsia" w:ascii="宋体" w:hAnsi="宋体" w:eastAsiaTheme="minorEastAsia" w:cstheme="minorBidi"/>
          <w:kern w:val="2"/>
          <w:sz w:val="24"/>
          <w:szCs w:val="24"/>
          <w:highlight w:val="none"/>
          <w:shd w:val="clear" w:color="auto" w:fill="auto"/>
          <w:lang w:val="en-US" w:eastAsia="zh-CN" w:bidi="ar-SA"/>
        </w:rPr>
        <w:t>2、报价人的报价应包括但不限于:人员工资、福利、社险、住房公积金等人工费用、服装费、工具耗材费用、病媒生物防治服务费用、室内绿植租摆费用、专项保洁费用、办公费、企业利润及税金等为完成招标文件规定的一切工作所需的全部费用。</w:t>
      </w:r>
    </w:p>
    <w:p w14:paraId="08F246A5">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right="0" w:rightChars="0" w:firstLine="480" w:firstLineChars="200"/>
        <w:textAlignment w:val="auto"/>
        <w:rPr>
          <w:rFonts w:hint="eastAsia" w:ascii="宋体" w:hAnsi="宋体" w:eastAsiaTheme="minorEastAsia" w:cstheme="minorBidi"/>
          <w:kern w:val="2"/>
          <w:sz w:val="24"/>
          <w:szCs w:val="24"/>
          <w:highlight w:val="none"/>
          <w:shd w:val="clear" w:color="auto" w:fill="auto"/>
          <w:lang w:val="en-US" w:eastAsia="zh-CN" w:bidi="ar-SA"/>
        </w:rPr>
      </w:pPr>
      <w:r>
        <w:rPr>
          <w:rFonts w:hint="eastAsia" w:ascii="宋体" w:hAnsi="宋体" w:eastAsiaTheme="minorEastAsia" w:cstheme="minorBidi"/>
          <w:kern w:val="2"/>
          <w:sz w:val="24"/>
          <w:szCs w:val="24"/>
          <w:highlight w:val="none"/>
          <w:shd w:val="clear" w:color="auto" w:fill="auto"/>
          <w:lang w:val="en-US" w:eastAsia="zh-CN" w:bidi="ar-SA"/>
        </w:rPr>
        <w:t>3、报价人必须响应所有技术服务要求，所有报价材料需加盖公章及骑缝章，纸质报价的须装入报价专用袋</w:t>
      </w:r>
      <w:bookmarkStart w:id="1" w:name="_GoBack"/>
      <w:bookmarkEnd w:id="1"/>
      <w:r>
        <w:rPr>
          <w:rFonts w:hint="eastAsia" w:ascii="宋体" w:hAnsi="宋体" w:eastAsiaTheme="minorEastAsia" w:cstheme="minorBidi"/>
          <w:kern w:val="2"/>
          <w:sz w:val="24"/>
          <w:szCs w:val="24"/>
          <w:highlight w:val="none"/>
          <w:shd w:val="clear" w:color="auto" w:fill="auto"/>
          <w:lang w:val="en-US" w:eastAsia="zh-CN" w:bidi="ar-SA"/>
        </w:rPr>
        <w:t>内密封，否则报价无效。</w:t>
      </w:r>
    </w:p>
    <w:p w14:paraId="567EF1B2">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0" w:firstLineChars="200"/>
        <w:textAlignment w:val="auto"/>
        <w:rPr>
          <w:rFonts w:hint="eastAsia" w:ascii="宋体" w:hAnsi="宋体" w:eastAsiaTheme="minorEastAsia" w:cstheme="minorBidi"/>
          <w:kern w:val="2"/>
          <w:sz w:val="24"/>
          <w:szCs w:val="24"/>
          <w:highlight w:val="none"/>
          <w:shd w:val="clear" w:color="auto" w:fill="auto"/>
          <w:lang w:val="en-US" w:eastAsia="zh-CN" w:bidi="ar-SA"/>
        </w:rPr>
      </w:pPr>
      <w:r>
        <w:rPr>
          <w:rFonts w:hint="eastAsia" w:ascii="宋体" w:hAnsi="宋体" w:eastAsiaTheme="minorEastAsia" w:cstheme="minorBidi"/>
          <w:kern w:val="2"/>
          <w:sz w:val="24"/>
          <w:szCs w:val="24"/>
          <w:highlight w:val="none"/>
          <w:shd w:val="clear" w:color="auto" w:fill="auto"/>
          <w:lang w:val="en-US" w:eastAsia="zh-CN" w:bidi="ar-SA"/>
        </w:rPr>
        <w:t>4、报价人在报价单上必须填写完整且有效的报价单位联系人、固定电话或移动电话和公司注册地详细地址，报价人应对所递交的报价文件以及与报价有关的证明和资料的真实性负责，若以弄虚作假给询价人造成损失的，依法承担赔偿责任。</w:t>
      </w:r>
    </w:p>
    <w:p w14:paraId="040F84E0">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0" w:firstLineChars="200"/>
        <w:textAlignment w:val="auto"/>
        <w:rPr>
          <w:rFonts w:hint="eastAsia" w:ascii="宋体" w:hAnsi="宋体" w:eastAsiaTheme="minorEastAsia" w:cstheme="minorBidi"/>
          <w:kern w:val="2"/>
          <w:sz w:val="24"/>
          <w:szCs w:val="24"/>
          <w:highlight w:val="none"/>
          <w:shd w:val="clear" w:color="auto" w:fill="auto"/>
          <w:lang w:val="en-US" w:eastAsia="zh-CN" w:bidi="ar-SA"/>
        </w:rPr>
      </w:pPr>
      <w:r>
        <w:rPr>
          <w:rFonts w:hint="eastAsia" w:ascii="宋体" w:hAnsi="宋体" w:eastAsiaTheme="minorEastAsia" w:cstheme="minorBidi"/>
          <w:kern w:val="2"/>
          <w:sz w:val="24"/>
          <w:szCs w:val="24"/>
          <w:highlight w:val="none"/>
          <w:shd w:val="clear" w:color="auto" w:fill="auto"/>
          <w:lang w:val="en-US" w:eastAsia="zh-CN" w:bidi="ar-SA"/>
        </w:rPr>
        <w:t>5、如发现恶意报价者，询价人可上报政府相关部门列入黑名单，限制其在本地区经销。</w:t>
      </w:r>
    </w:p>
    <w:p w14:paraId="5B82FE47">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7" w:firstLineChars="203"/>
        <w:textAlignment w:val="auto"/>
        <w:rPr>
          <w:rFonts w:hint="eastAsia" w:ascii="宋体" w:hAnsi="宋体" w:eastAsiaTheme="minorEastAsia" w:cstheme="minorBidi"/>
          <w:kern w:val="2"/>
          <w:sz w:val="24"/>
          <w:szCs w:val="24"/>
          <w:highlight w:val="none"/>
          <w:shd w:val="clear" w:color="auto" w:fill="auto"/>
          <w:lang w:val="en-US" w:eastAsia="zh-CN" w:bidi="ar-SA"/>
        </w:rPr>
      </w:pPr>
      <w:r>
        <w:rPr>
          <w:rFonts w:hint="eastAsia" w:ascii="宋体" w:hAnsi="宋体" w:eastAsiaTheme="minorEastAsia" w:cstheme="minorBidi"/>
          <w:kern w:val="2"/>
          <w:sz w:val="24"/>
          <w:szCs w:val="24"/>
          <w:highlight w:val="none"/>
          <w:shd w:val="clear" w:color="auto" w:fill="auto"/>
          <w:lang w:val="en-US" w:eastAsia="zh-CN" w:bidi="ar-SA"/>
        </w:rPr>
        <w:t>6、本次报价过程的所有费用自理。</w:t>
      </w:r>
    </w:p>
    <w:p w14:paraId="1F3D856B">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7" w:firstLineChars="203"/>
        <w:textAlignment w:val="auto"/>
        <w:rPr>
          <w:rFonts w:hint="eastAsia" w:ascii="宋体" w:hAnsi="宋体" w:eastAsiaTheme="minorEastAsia" w:cstheme="minorBidi"/>
          <w:kern w:val="2"/>
          <w:sz w:val="24"/>
          <w:szCs w:val="24"/>
          <w:highlight w:val="none"/>
          <w:shd w:val="clear" w:color="auto" w:fill="auto"/>
          <w:lang w:val="en-US" w:eastAsia="zh-CN" w:bidi="ar-SA"/>
        </w:rPr>
      </w:pPr>
      <w:r>
        <w:rPr>
          <w:rFonts w:hint="eastAsia" w:ascii="宋体" w:hAnsi="宋体" w:eastAsiaTheme="minorEastAsia" w:cstheme="minorBidi"/>
          <w:kern w:val="2"/>
          <w:sz w:val="24"/>
          <w:szCs w:val="24"/>
          <w:highlight w:val="none"/>
          <w:shd w:val="clear" w:color="auto" w:fill="auto"/>
          <w:lang w:val="en-US" w:eastAsia="zh-CN" w:bidi="ar-SA"/>
        </w:rPr>
        <w:t>7、凡两家或两家以上供应商参加同一项目的材料报价，有如下情况的，一经发现，将视同串标处理：</w:t>
      </w:r>
    </w:p>
    <w:p w14:paraId="3598F4E9">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7" w:firstLineChars="203"/>
        <w:textAlignment w:val="auto"/>
        <w:rPr>
          <w:highlight w:val="none"/>
          <w:shd w:val="clear" w:color="auto" w:fill="auto"/>
        </w:rPr>
      </w:pPr>
      <w:r>
        <w:rPr>
          <w:rFonts w:hint="eastAsia" w:ascii="宋体" w:hAnsi="宋体" w:eastAsia="宋体" w:cs="宋体"/>
          <w:highlight w:val="none"/>
          <w:shd w:val="clear" w:color="auto" w:fill="auto"/>
        </w:rPr>
        <w:t>a）为同一法定代表人的；</w:t>
      </w:r>
    </w:p>
    <w:p w14:paraId="754FF213">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7" w:firstLineChars="203"/>
        <w:textAlignment w:val="auto"/>
        <w:rPr>
          <w:highlight w:val="none"/>
          <w:shd w:val="clear" w:color="auto" w:fill="auto"/>
        </w:rPr>
      </w:pPr>
      <w:r>
        <w:rPr>
          <w:rFonts w:hint="eastAsia" w:ascii="宋体" w:hAnsi="宋体" w:eastAsia="宋体" w:cs="宋体"/>
          <w:highlight w:val="none"/>
          <w:shd w:val="clear" w:color="auto" w:fill="auto"/>
        </w:rPr>
        <w:t>b）为同一股东控股的；</w:t>
      </w:r>
    </w:p>
    <w:p w14:paraId="4B8DF5CE">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7" w:firstLineChars="203"/>
        <w:textAlignment w:val="auto"/>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c）其中一家公司为其他公司最大股东的。</w:t>
      </w:r>
    </w:p>
    <w:p w14:paraId="590C016E">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9" w:firstLineChars="203"/>
        <w:textAlignment w:val="auto"/>
        <w:rPr>
          <w:highlight w:val="none"/>
          <w:shd w:val="clear" w:color="auto" w:fill="auto"/>
        </w:rPr>
      </w:pPr>
      <w:r>
        <w:rPr>
          <w:rStyle w:val="16"/>
          <w:rFonts w:hint="eastAsia" w:ascii="宋体" w:hAnsi="宋体" w:eastAsia="宋体" w:cs="宋体"/>
          <w:highlight w:val="none"/>
          <w:shd w:val="clear" w:color="auto" w:fill="auto"/>
        </w:rPr>
        <w:t>五、报价文件的澄清及修改</w:t>
      </w:r>
    </w:p>
    <w:p w14:paraId="3B62F1DF">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7" w:firstLineChars="203"/>
        <w:textAlignment w:val="auto"/>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询价公告及文件如有澄清和修改，我司将在</w:t>
      </w:r>
      <w:r>
        <w:rPr>
          <w:rFonts w:hint="eastAsia" w:ascii="宋体" w:hAnsi="宋体" w:eastAsia="宋体" w:cs="宋体"/>
          <w:highlight w:val="none"/>
          <w:shd w:val="clear" w:color="auto" w:fill="auto"/>
          <w:lang w:val="en-US" w:eastAsia="zh-CN"/>
        </w:rPr>
        <w:t>莆田市荔城区人民政府网、</w:t>
      </w:r>
      <w:r>
        <w:rPr>
          <w:rFonts w:hint="eastAsia" w:ascii="宋体" w:hAnsi="宋体" w:eastAsia="宋体" w:cs="宋体"/>
          <w:highlight w:val="none"/>
          <w:shd w:val="clear" w:color="auto" w:fill="auto"/>
        </w:rPr>
        <w:t>中国采购与招标网、新点电子交易平台发布本次报价项目的相关信息，请各报价单位及时关注，报价单位若自己没有在以上网站上查询相关信息而影响报价的，报价单位自行承担相关责任。</w:t>
      </w:r>
    </w:p>
    <w:p w14:paraId="4CC74788">
      <w:pPr>
        <w:pStyle w:val="10"/>
        <w:keepNext w:val="0"/>
        <w:keepLines w:val="0"/>
        <w:pageBreakBefore w:val="0"/>
        <w:widowControl/>
        <w:kinsoku/>
        <w:wordWrap/>
        <w:overflowPunct/>
        <w:topLinePunct w:val="0"/>
        <w:autoSpaceDE/>
        <w:autoSpaceDN/>
        <w:bidi w:val="0"/>
        <w:adjustRightInd/>
        <w:snapToGrid w:val="0"/>
        <w:spacing w:beforeAutospacing="0" w:afterAutospacing="0" w:line="400" w:lineRule="exact"/>
        <w:ind w:left="0" w:leftChars="0" w:right="0" w:rightChars="0" w:firstLine="489" w:firstLineChars="203"/>
        <w:textAlignment w:val="auto"/>
        <w:rPr>
          <w:rStyle w:val="16"/>
          <w:rFonts w:hint="eastAsia" w:ascii="宋体" w:hAnsi="宋体" w:eastAsia="宋体" w:cs="宋体"/>
          <w:highlight w:val="none"/>
          <w:shd w:val="clear" w:color="auto" w:fill="auto"/>
        </w:rPr>
      </w:pPr>
      <w:r>
        <w:rPr>
          <w:rStyle w:val="16"/>
          <w:rFonts w:hint="eastAsia" w:ascii="宋体" w:hAnsi="宋体" w:eastAsia="宋体" w:cs="宋体"/>
          <w:highlight w:val="none"/>
          <w:shd w:val="clear" w:color="auto" w:fill="auto"/>
        </w:rPr>
        <w:t>六、联系方法:</w:t>
      </w:r>
    </w:p>
    <w:p w14:paraId="41979F28">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rFonts w:hint="eastAsia" w:ascii="宋体" w:hAnsi="宋体"/>
          <w:sz w:val="24"/>
          <w:highlight w:val="none"/>
          <w:shd w:val="clear" w:color="auto" w:fill="auto"/>
        </w:rPr>
      </w:pPr>
      <w:r>
        <w:rPr>
          <w:rFonts w:hint="eastAsia" w:ascii="宋体" w:hAnsi="宋体"/>
          <w:sz w:val="24"/>
          <w:highlight w:val="none"/>
          <w:shd w:val="clear" w:color="auto" w:fill="auto"/>
        </w:rPr>
        <w:t>采购人：</w:t>
      </w:r>
      <w:r>
        <w:rPr>
          <w:rFonts w:hint="eastAsia" w:ascii="宋体" w:hAnsi="宋体"/>
          <w:sz w:val="24"/>
          <w:highlight w:val="none"/>
          <w:shd w:val="clear" w:color="auto" w:fill="auto"/>
          <w:lang w:eastAsia="zh-CN"/>
        </w:rPr>
        <w:t>莆田市正美文旅投资有限公司</w:t>
      </w:r>
    </w:p>
    <w:p w14:paraId="0C139BA9">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rFonts w:hint="eastAsia" w:ascii="宋体" w:hAnsi="宋体" w:eastAsiaTheme="minorEastAsia"/>
          <w:sz w:val="24"/>
          <w:highlight w:val="none"/>
          <w:shd w:val="clear" w:color="auto" w:fill="auto"/>
          <w:lang w:eastAsia="zh-CN"/>
        </w:rPr>
      </w:pPr>
      <w:r>
        <w:rPr>
          <w:rFonts w:hint="eastAsia" w:ascii="宋体" w:hAnsi="宋体"/>
          <w:sz w:val="24"/>
          <w:highlight w:val="none"/>
          <w:shd w:val="clear" w:color="auto" w:fill="auto"/>
        </w:rPr>
        <w:t>地 址：</w:t>
      </w:r>
      <w:r>
        <w:rPr>
          <w:rFonts w:hint="eastAsia" w:ascii="宋体" w:hAnsi="宋体"/>
          <w:sz w:val="24"/>
          <w:highlight w:val="none"/>
          <w:shd w:val="clear" w:color="auto" w:fill="auto"/>
          <w:lang w:val="en-US" w:eastAsia="zh-CN"/>
        </w:rPr>
        <w:t xml:space="preserve"> 福建省莆田市荔城区镇海街道镇海南街113号</w:t>
      </w:r>
    </w:p>
    <w:p w14:paraId="418BD902">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rFonts w:hint="eastAsia" w:ascii="宋体" w:hAnsi="宋体"/>
          <w:sz w:val="24"/>
          <w:highlight w:val="none"/>
          <w:shd w:val="clear" w:color="auto" w:fill="auto"/>
        </w:rPr>
      </w:pPr>
      <w:r>
        <w:rPr>
          <w:rFonts w:hint="eastAsia" w:ascii="宋体" w:hAnsi="宋体"/>
          <w:sz w:val="24"/>
          <w:highlight w:val="none"/>
          <w:shd w:val="clear" w:color="auto" w:fill="auto"/>
        </w:rPr>
        <w:t>联系人：</w:t>
      </w:r>
      <w:r>
        <w:rPr>
          <w:rFonts w:hint="eastAsia" w:ascii="宋体" w:hAnsi="宋体"/>
          <w:sz w:val="24"/>
          <w:highlight w:val="none"/>
          <w:shd w:val="clear" w:color="auto" w:fill="auto"/>
          <w:lang w:val="en-US" w:eastAsia="zh-CN"/>
        </w:rPr>
        <w:t xml:space="preserve"> 林先生</w:t>
      </w:r>
      <w:r>
        <w:rPr>
          <w:rFonts w:hint="eastAsia" w:ascii="宋体" w:hAnsi="宋体"/>
          <w:sz w:val="24"/>
          <w:highlight w:val="none"/>
          <w:shd w:val="clear" w:color="auto" w:fill="auto"/>
        </w:rPr>
        <w:t xml:space="preserve"> </w:t>
      </w:r>
    </w:p>
    <w:p w14:paraId="147337B5">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rFonts w:hint="eastAsia" w:ascii="宋体" w:hAnsi="宋体"/>
          <w:sz w:val="24"/>
          <w:highlight w:val="none"/>
          <w:shd w:val="clear" w:color="auto" w:fill="auto"/>
        </w:rPr>
      </w:pPr>
      <w:r>
        <w:rPr>
          <w:rFonts w:hint="eastAsia" w:ascii="宋体" w:hAnsi="宋体" w:eastAsia="宋体" w:cs="宋体"/>
          <w:sz w:val="24"/>
          <w:highlight w:val="none"/>
          <w:shd w:val="clear" w:color="auto" w:fill="auto"/>
        </w:rPr>
        <w:t>电  话：</w:t>
      </w:r>
      <w:r>
        <w:rPr>
          <w:rFonts w:hint="eastAsia" w:ascii="宋体" w:hAnsi="宋体" w:eastAsia="宋体"/>
          <w:sz w:val="24"/>
          <w:highlight w:val="none"/>
          <w:shd w:val="clear" w:color="auto" w:fill="auto"/>
          <w:lang w:val="en-US" w:eastAsia="zh-CN"/>
        </w:rPr>
        <w:t xml:space="preserve"> 0594-2688192</w:t>
      </w:r>
      <w:r>
        <w:rPr>
          <w:rFonts w:hint="eastAsia" w:ascii="宋体" w:hAnsi="宋体"/>
          <w:sz w:val="24"/>
          <w:highlight w:val="none"/>
          <w:shd w:val="clear" w:color="auto" w:fill="auto"/>
        </w:rPr>
        <w:t xml:space="preserve"> </w:t>
      </w:r>
    </w:p>
    <w:p w14:paraId="10A99D5D">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sz w:val="24"/>
          <w:highlight w:val="none"/>
          <w:shd w:val="clear" w:color="auto" w:fill="auto"/>
        </w:rPr>
      </w:pPr>
      <w:r>
        <w:rPr>
          <w:rFonts w:hint="eastAsia" w:ascii="宋体" w:hAnsi="宋体"/>
          <w:sz w:val="24"/>
          <w:highlight w:val="none"/>
          <w:shd w:val="clear" w:color="auto" w:fill="auto"/>
        </w:rPr>
        <w:t xml:space="preserve">        </w:t>
      </w:r>
      <w:r>
        <w:rPr>
          <w:rFonts w:hint="eastAsia"/>
          <w:sz w:val="24"/>
          <w:highlight w:val="none"/>
          <w:shd w:val="clear" w:color="auto" w:fill="auto"/>
        </w:rPr>
        <w:t xml:space="preserve">     </w:t>
      </w:r>
    </w:p>
    <w:p w14:paraId="1E24B246">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代理机构：福建中实建设项目管理有限公司</w:t>
      </w:r>
    </w:p>
    <w:p w14:paraId="59D6F88A">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地   址：莆田市城厢区凤凰路569号凤凰别墅山庄B区33号</w:t>
      </w:r>
    </w:p>
    <w:p w14:paraId="3111D7FA">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联系人：</w:t>
      </w:r>
      <w:r>
        <w:rPr>
          <w:rFonts w:hint="eastAsia" w:ascii="宋体" w:hAnsi="宋体" w:eastAsia="宋体" w:cs="宋体"/>
          <w:sz w:val="24"/>
          <w:highlight w:val="none"/>
          <w:shd w:val="clear" w:color="auto" w:fill="auto"/>
          <w:lang w:eastAsia="zh-CN"/>
        </w:rPr>
        <w:t>林</w:t>
      </w:r>
      <w:r>
        <w:rPr>
          <w:rFonts w:hint="eastAsia" w:ascii="宋体" w:hAnsi="宋体" w:eastAsia="宋体" w:cs="宋体"/>
          <w:sz w:val="24"/>
          <w:highlight w:val="none"/>
          <w:shd w:val="clear" w:color="auto" w:fill="auto"/>
        </w:rPr>
        <w:t>女士/陈女士</w:t>
      </w:r>
    </w:p>
    <w:p w14:paraId="796F4B81">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电  话：0594-2729522/</w:t>
      </w:r>
      <w:r>
        <w:rPr>
          <w:rFonts w:hint="eastAsia" w:ascii="宋体" w:hAnsi="宋体" w:eastAsia="宋体" w:cs="宋体"/>
          <w:sz w:val="24"/>
          <w:highlight w:val="none"/>
          <w:shd w:val="clear" w:color="auto" w:fill="auto"/>
          <w:lang w:val="en-US" w:eastAsia="zh-CN"/>
        </w:rPr>
        <w:t>15715091388</w:t>
      </w:r>
    </w:p>
    <w:p w14:paraId="6BC738BD">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Chars="175"/>
        <w:textAlignment w:val="auto"/>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 xml:space="preserve">邮  箱：fjzs2729522@163.com </w:t>
      </w:r>
    </w:p>
    <w:p w14:paraId="229163EA">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249" w:firstLineChars="104"/>
        <w:jc w:val="right"/>
        <w:textAlignment w:val="auto"/>
        <w:rPr>
          <w:rFonts w:hint="eastAsia" w:ascii="宋体" w:hAnsi="宋体"/>
          <w:sz w:val="24"/>
          <w:highlight w:val="none"/>
          <w:shd w:val="clear" w:color="auto" w:fill="auto"/>
          <w:lang w:eastAsia="zh-CN"/>
        </w:rPr>
      </w:pPr>
    </w:p>
    <w:p w14:paraId="6173B2B9">
      <w:pPr>
        <w:pStyle w:val="5"/>
        <w:keepNext w:val="0"/>
        <w:keepLines w:val="0"/>
        <w:pageBreakBefore w:val="0"/>
        <w:kinsoku/>
        <w:wordWrap/>
        <w:overflowPunct/>
        <w:topLinePunct w:val="0"/>
        <w:autoSpaceDE/>
        <w:autoSpaceDN/>
        <w:bidi w:val="0"/>
        <w:adjustRightInd/>
        <w:snapToGrid w:val="0"/>
        <w:spacing w:line="400" w:lineRule="exact"/>
        <w:ind w:left="0" w:leftChars="0" w:right="0" w:rightChars="0" w:firstLine="249" w:firstLineChars="104"/>
        <w:jc w:val="right"/>
        <w:textAlignment w:val="auto"/>
        <w:rPr>
          <w:sz w:val="24"/>
        </w:rPr>
      </w:pPr>
      <w:r>
        <w:rPr>
          <w:rFonts w:hint="eastAsia" w:ascii="宋体" w:hAnsi="宋体"/>
          <w:sz w:val="24"/>
          <w:highlight w:val="none"/>
          <w:shd w:val="clear" w:color="auto" w:fill="auto"/>
          <w:lang w:eastAsia="zh-CN"/>
        </w:rPr>
        <w:t>2025年</w:t>
      </w:r>
      <w:r>
        <w:rPr>
          <w:rFonts w:hint="eastAsia" w:ascii="宋体" w:hAnsi="宋体"/>
          <w:sz w:val="24"/>
          <w:highlight w:val="none"/>
          <w:shd w:val="clear" w:color="auto" w:fill="auto"/>
          <w:lang w:val="en-US" w:eastAsia="zh-CN"/>
        </w:rPr>
        <w:t>11</w:t>
      </w:r>
      <w:r>
        <w:rPr>
          <w:rFonts w:hint="eastAsia" w:ascii="宋体" w:hAnsi="宋体"/>
          <w:sz w:val="24"/>
          <w:highlight w:val="none"/>
          <w:shd w:val="clear" w:color="auto" w:fill="auto"/>
        </w:rPr>
        <w:t>月</w:t>
      </w:r>
      <w:r>
        <w:rPr>
          <w:rFonts w:hint="eastAsia" w:ascii="宋体" w:hAnsi="宋体"/>
          <w:sz w:val="24"/>
          <w:highlight w:val="none"/>
          <w:shd w:val="clear" w:color="auto" w:fill="auto"/>
          <w:lang w:val="en-US" w:eastAsia="zh-CN"/>
        </w:rPr>
        <w:t>19</w:t>
      </w:r>
      <w:r>
        <w:rPr>
          <w:rFonts w:hint="eastAsia" w:ascii="宋体" w:hAnsi="宋体"/>
          <w:sz w:val="24"/>
          <w:highlight w:val="none"/>
          <w:shd w:val="clear" w:color="auto" w:fill="auto"/>
        </w:rPr>
        <w:t>日</w:t>
      </w:r>
    </w:p>
    <w:p w14:paraId="083FFEC9">
      <w:pPr>
        <w:rPr>
          <w:sz w:val="24"/>
        </w:rPr>
      </w:pPr>
      <w:r>
        <w:rPr>
          <w:rFonts w:hint="eastAsia"/>
          <w:sz w:val="24"/>
        </w:rPr>
        <w:br w:type="page"/>
      </w:r>
    </w:p>
    <w:p w14:paraId="60F880AD">
      <w:pPr>
        <w:ind w:left="0" w:leftChars="0" w:right="-22" w:righ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报价函</w:t>
      </w:r>
    </w:p>
    <w:p w14:paraId="57BFDB2F">
      <w:pPr>
        <w:spacing w:after="120"/>
        <w:ind w:left="1680" w:leftChars="-95" w:hanging="1879" w:hangingChars="783"/>
        <w:rPr>
          <w:rFonts w:hint="eastAsia" w:ascii="宋体" w:hAnsi="宋体" w:eastAsia="宋体" w:cs="宋体"/>
          <w:sz w:val="24"/>
          <w:u w:val="single"/>
          <w:shd w:val="clear" w:color="auto" w:fill="F9F9F9"/>
        </w:rPr>
      </w:pPr>
      <w:r>
        <w:rPr>
          <w:rFonts w:hint="eastAsia" w:ascii="Times New Roman" w:hAnsi="Times New Roman" w:eastAsia="宋体" w:cs="Times New Roman"/>
          <w:sz w:val="24"/>
        </w:rPr>
        <w:t>项目名称：</w:t>
      </w:r>
      <w:r>
        <w:rPr>
          <w:rFonts w:hint="eastAsia" w:ascii="宋体" w:hAnsi="宋体" w:eastAsia="宋体" w:cs="宋体"/>
          <w:sz w:val="24"/>
          <w:u w:val="single"/>
          <w:shd w:val="clear" w:color="auto" w:fill="F9F9F9"/>
          <w:lang w:eastAsia="zh-CN"/>
        </w:rPr>
        <w:t>兴化府历史文化街区物业管理服务类采购项目</w:t>
      </w:r>
    </w:p>
    <w:p w14:paraId="5A03AFC7">
      <w:pPr>
        <w:spacing w:after="120"/>
        <w:ind w:left="1680" w:leftChars="-95" w:hanging="1879" w:hangingChars="783"/>
        <w:rPr>
          <w:rFonts w:hint="eastAsia" w:ascii="宋体" w:hAnsi="宋体" w:eastAsia="宋体" w:cs="宋体"/>
          <w:sz w:val="24"/>
        </w:rPr>
      </w:pPr>
      <w:r>
        <w:rPr>
          <w:rFonts w:hint="eastAsia" w:ascii="宋体" w:hAnsi="宋体" w:eastAsia="宋体" w:cs="宋体"/>
          <w:bCs/>
          <w:sz w:val="24"/>
        </w:rPr>
        <w:t>报价单位名称（盖章）：</w:t>
      </w:r>
      <w:r>
        <w:rPr>
          <w:rFonts w:hint="eastAsia" w:ascii="宋体" w:hAnsi="宋体" w:eastAsia="宋体" w:cs="宋体"/>
          <w:bCs/>
          <w:sz w:val="24"/>
          <w:u w:val="single"/>
        </w:rPr>
        <w:t xml:space="preserve">                       </w:t>
      </w:r>
      <w:r>
        <w:rPr>
          <w:rFonts w:hint="eastAsia" w:ascii="宋体" w:hAnsi="宋体" w:eastAsia="宋体" w:cs="宋体"/>
          <w:sz w:val="24"/>
        </w:rPr>
        <w:t xml:space="preserve"> </w:t>
      </w:r>
    </w:p>
    <w:p w14:paraId="0C7CA535">
      <w:pPr>
        <w:jc w:val="right"/>
        <w:rPr>
          <w:rFonts w:hint="eastAsia" w:ascii="宋体" w:hAnsi="宋体" w:cs="宋体"/>
          <w:sz w:val="24"/>
        </w:rPr>
      </w:pPr>
      <w:r>
        <w:rPr>
          <w:rFonts w:hint="eastAsia" w:ascii="宋体" w:hAnsi="宋体" w:eastAsia="宋体" w:cs="宋体"/>
          <w:sz w:val="24"/>
        </w:rPr>
        <w:t>单位： 元（人民币）</w:t>
      </w:r>
    </w:p>
    <w:tbl>
      <w:tblPr>
        <w:tblStyle w:val="1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58"/>
        <w:gridCol w:w="2802"/>
        <w:gridCol w:w="1417"/>
        <w:gridCol w:w="1200"/>
        <w:gridCol w:w="1305"/>
      </w:tblGrid>
      <w:tr w14:paraId="57F2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15D17A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58" w:type="dxa"/>
            <w:vAlign w:val="center"/>
          </w:tcPr>
          <w:p w14:paraId="684B2314">
            <w:pPr>
              <w:spacing w:line="360" w:lineRule="auto"/>
              <w:jc w:val="center"/>
              <w:rPr>
                <w:rFonts w:hint="default" w:ascii="宋体" w:hAnsi="宋体" w:eastAsia="宋体" w:cs="宋体"/>
                <w:sz w:val="24"/>
                <w:szCs w:val="24"/>
                <w:lang w:val="en-US" w:eastAsia="zh-CN"/>
              </w:rPr>
            </w:pPr>
            <w:r>
              <w:rPr>
                <w:rStyle w:val="16"/>
                <w:rFonts w:hint="eastAsia" w:ascii="宋体" w:hAnsi="宋体" w:eastAsia="宋体" w:cs="宋体"/>
                <w:sz w:val="24"/>
                <w:szCs w:val="24"/>
                <w:lang w:val="en-US" w:eastAsia="zh-CN"/>
              </w:rPr>
              <w:t>采购标的</w:t>
            </w:r>
          </w:p>
        </w:tc>
        <w:tc>
          <w:tcPr>
            <w:tcW w:w="2802" w:type="dxa"/>
            <w:vAlign w:val="center"/>
          </w:tcPr>
          <w:p w14:paraId="04EED93C">
            <w:pPr>
              <w:spacing w:line="360" w:lineRule="auto"/>
              <w:jc w:val="center"/>
              <w:rPr>
                <w:rFonts w:hint="eastAsia" w:ascii="宋体" w:hAnsi="宋体" w:eastAsia="宋体" w:cs="宋体"/>
                <w:b/>
                <w:bCs/>
                <w:sz w:val="24"/>
                <w:szCs w:val="24"/>
              </w:rPr>
            </w:pPr>
            <w:r>
              <w:rPr>
                <w:rStyle w:val="16"/>
                <w:rFonts w:hint="eastAsia" w:ascii="宋体" w:hAnsi="宋体" w:eastAsia="宋体" w:cs="宋体"/>
                <w:sz w:val="24"/>
                <w:szCs w:val="24"/>
              </w:rPr>
              <w:t>服务期限</w:t>
            </w:r>
          </w:p>
        </w:tc>
        <w:tc>
          <w:tcPr>
            <w:tcW w:w="1417" w:type="dxa"/>
            <w:vAlign w:val="center"/>
          </w:tcPr>
          <w:p w14:paraId="76D90A33">
            <w:pPr>
              <w:pStyle w:val="10"/>
              <w:widowControl/>
              <w:spacing w:after="120" w:afterAutospacing="0" w:line="320" w:lineRule="exact"/>
              <w:jc w:val="center"/>
              <w:rPr>
                <w:rStyle w:val="16"/>
                <w:rFonts w:hint="eastAsia" w:ascii="宋体" w:hAnsi="宋体" w:eastAsia="宋体" w:cs="宋体"/>
                <w:sz w:val="24"/>
                <w:szCs w:val="24"/>
              </w:rPr>
            </w:pPr>
            <w:r>
              <w:rPr>
                <w:rStyle w:val="16"/>
                <w:rFonts w:hint="eastAsia" w:ascii="宋体" w:hAnsi="宋体" w:eastAsia="宋体" w:cs="宋体"/>
                <w:sz w:val="24"/>
                <w:szCs w:val="24"/>
                <w:lang w:val="en-US" w:eastAsia="zh-CN"/>
              </w:rPr>
              <w:t>具体服务</w:t>
            </w:r>
            <w:r>
              <w:rPr>
                <w:rStyle w:val="16"/>
                <w:rFonts w:hint="eastAsia" w:ascii="宋体" w:hAnsi="宋体" w:eastAsia="宋体" w:cs="宋体"/>
                <w:sz w:val="24"/>
                <w:szCs w:val="24"/>
              </w:rPr>
              <w:t>要求</w:t>
            </w:r>
          </w:p>
        </w:tc>
        <w:tc>
          <w:tcPr>
            <w:tcW w:w="1200" w:type="dxa"/>
            <w:vAlign w:val="center"/>
          </w:tcPr>
          <w:p w14:paraId="6F5AF2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05" w:type="dxa"/>
            <w:vAlign w:val="center"/>
          </w:tcPr>
          <w:p w14:paraId="55678D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总价（元）</w:t>
            </w:r>
          </w:p>
        </w:tc>
      </w:tr>
      <w:tr w14:paraId="7A14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64CC05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158" w:type="dxa"/>
            <w:vAlign w:val="center"/>
          </w:tcPr>
          <w:p w14:paraId="0BA778C0">
            <w:pPr>
              <w:keepNext w:val="0"/>
              <w:keepLines w:val="0"/>
              <w:pageBreakBefore w:val="0"/>
              <w:kinsoku/>
              <w:wordWrap/>
              <w:overflowPunct/>
              <w:topLinePunct w:val="0"/>
              <w:autoSpaceDE/>
              <w:autoSpaceDN/>
              <w:bidi w:val="0"/>
              <w:adjustRightInd/>
              <w:snapToGrid w:val="0"/>
              <w:spacing w:beforeAutospacing="0" w:line="400" w:lineRule="exact"/>
              <w:ind w:left="0" w:leftChars="0" w:right="0" w:rightChars="0" w:firstLine="0" w:firstLineChars="0"/>
              <w:jc w:val="center"/>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兴化府历史文化街区物业管理服务</w:t>
            </w:r>
          </w:p>
        </w:tc>
        <w:tc>
          <w:tcPr>
            <w:tcW w:w="2802" w:type="dxa"/>
            <w:vAlign w:val="center"/>
          </w:tcPr>
          <w:p w14:paraId="13E87100">
            <w:pPr>
              <w:keepNext w:val="0"/>
              <w:keepLines w:val="0"/>
              <w:pageBreakBefore w:val="0"/>
              <w:kinsoku/>
              <w:wordWrap/>
              <w:overflowPunct/>
              <w:topLinePunct w:val="0"/>
              <w:autoSpaceDE/>
              <w:autoSpaceDN/>
              <w:bidi w:val="0"/>
              <w:adjustRightInd/>
              <w:snapToGrid w:val="0"/>
              <w:spacing w:beforeAutospacing="0" w:line="400" w:lineRule="exact"/>
              <w:ind w:left="0" w:leftChars="0" w:right="0" w:rightChars="0" w:firstLine="0" w:firstLineChars="0"/>
              <w:jc w:val="center"/>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以招标人通知入场时间起起算3年服务期</w:t>
            </w:r>
          </w:p>
        </w:tc>
        <w:tc>
          <w:tcPr>
            <w:tcW w:w="1417" w:type="dxa"/>
            <w:vAlign w:val="center"/>
          </w:tcPr>
          <w:p w14:paraId="3EABB62B">
            <w:pPr>
              <w:keepNext w:val="0"/>
              <w:keepLines w:val="0"/>
              <w:pageBreakBefore w:val="0"/>
              <w:kinsoku/>
              <w:wordWrap/>
              <w:overflowPunct/>
              <w:topLinePunct w:val="0"/>
              <w:autoSpaceDE/>
              <w:autoSpaceDN/>
              <w:bidi w:val="0"/>
              <w:adjustRightInd/>
              <w:snapToGrid w:val="0"/>
              <w:spacing w:beforeAutospacing="0" w:line="400" w:lineRule="exact"/>
              <w:ind w:left="0" w:leftChars="0" w:right="0" w:rightChars="0" w:firstLine="0" w:firstLineChars="0"/>
              <w:jc w:val="center"/>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详见</w:t>
            </w:r>
            <w:r>
              <w:rPr>
                <w:rFonts w:hint="eastAsia" w:ascii="宋体" w:hAnsi="宋体" w:eastAsia="宋体" w:cs="宋体"/>
                <w:color w:val="000000"/>
                <w:kern w:val="2"/>
                <w:sz w:val="24"/>
                <w:szCs w:val="24"/>
                <w:lang w:eastAsia="zh-CN"/>
              </w:rPr>
              <w:t>附件</w:t>
            </w:r>
            <w:r>
              <w:rPr>
                <w:rFonts w:hint="eastAsia" w:ascii="宋体" w:hAnsi="宋体" w:eastAsia="宋体" w:cs="宋体"/>
                <w:color w:val="000000"/>
                <w:kern w:val="2"/>
                <w:sz w:val="24"/>
                <w:szCs w:val="24"/>
                <w:lang w:val="en-US" w:eastAsia="zh-CN"/>
              </w:rPr>
              <w:t>1</w:t>
            </w:r>
          </w:p>
        </w:tc>
        <w:tc>
          <w:tcPr>
            <w:tcW w:w="1200" w:type="dxa"/>
            <w:vAlign w:val="center"/>
          </w:tcPr>
          <w:p w14:paraId="1F9BFD93">
            <w:pPr>
              <w:keepNext w:val="0"/>
              <w:keepLines w:val="0"/>
              <w:pageBreakBefore w:val="0"/>
              <w:kinsoku/>
              <w:wordWrap/>
              <w:overflowPunct/>
              <w:topLinePunct w:val="0"/>
              <w:autoSpaceDE/>
              <w:autoSpaceDN/>
              <w:bidi w:val="0"/>
              <w:adjustRightInd/>
              <w:snapToGrid w:val="0"/>
              <w:spacing w:beforeAutospacing="0" w:line="400" w:lineRule="exact"/>
              <w:ind w:left="0" w:leftChars="0" w:right="0" w:rightChars="0" w:firstLine="0" w:firstLineChars="0"/>
              <w:jc w:val="center"/>
              <w:textAlignment w:val="auto"/>
              <w:outlineLvl w:val="9"/>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1项</w:t>
            </w:r>
          </w:p>
        </w:tc>
        <w:tc>
          <w:tcPr>
            <w:tcW w:w="1305" w:type="dxa"/>
            <w:vAlign w:val="center"/>
          </w:tcPr>
          <w:p w14:paraId="0E4375DD">
            <w:pPr>
              <w:spacing w:line="360" w:lineRule="auto"/>
              <w:jc w:val="center"/>
              <w:rPr>
                <w:rFonts w:hint="eastAsia" w:ascii="宋体" w:hAnsi="宋体" w:eastAsia="宋体" w:cs="宋体"/>
                <w:sz w:val="24"/>
                <w:szCs w:val="24"/>
              </w:rPr>
            </w:pPr>
          </w:p>
        </w:tc>
      </w:tr>
      <w:tr w14:paraId="119D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8" w:type="dxa"/>
            <w:gridSpan w:val="5"/>
            <w:vAlign w:val="center"/>
          </w:tcPr>
          <w:p w14:paraId="63FB69E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合计（元）：</w:t>
            </w:r>
          </w:p>
        </w:tc>
        <w:tc>
          <w:tcPr>
            <w:tcW w:w="1305" w:type="dxa"/>
            <w:vAlign w:val="center"/>
          </w:tcPr>
          <w:p w14:paraId="4AB42B80">
            <w:pPr>
              <w:spacing w:line="360" w:lineRule="auto"/>
              <w:jc w:val="center"/>
              <w:rPr>
                <w:rFonts w:hint="eastAsia" w:ascii="宋体" w:hAnsi="宋体" w:eastAsia="宋体" w:cs="宋体"/>
                <w:sz w:val="24"/>
                <w:szCs w:val="24"/>
              </w:rPr>
            </w:pPr>
          </w:p>
        </w:tc>
      </w:tr>
    </w:tbl>
    <w:p w14:paraId="7FD9EE37">
      <w:pPr>
        <w:rPr>
          <w:rFonts w:hint="eastAsia"/>
          <w:lang w:val="en-US" w:eastAsia="zh-CN"/>
        </w:rPr>
      </w:pPr>
    </w:p>
    <w:p w14:paraId="5B483264">
      <w:pPr>
        <w:rPr>
          <w:rFonts w:hint="eastAsia"/>
          <w:sz w:val="24"/>
          <w:szCs w:val="24"/>
          <w:lang w:val="en-US" w:eastAsia="zh-CN"/>
        </w:rPr>
      </w:pPr>
      <w:r>
        <w:rPr>
          <w:rFonts w:hint="eastAsia"/>
          <w:sz w:val="24"/>
          <w:szCs w:val="24"/>
          <w:lang w:val="en-US" w:eastAsia="zh-CN"/>
        </w:rPr>
        <w:t>分项清单表：</w:t>
      </w:r>
    </w:p>
    <w:tbl>
      <w:tblPr>
        <w:tblStyle w:val="13"/>
        <w:tblW w:w="9781" w:type="dxa"/>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387"/>
        <w:gridCol w:w="793"/>
        <w:gridCol w:w="942"/>
        <w:gridCol w:w="3300"/>
        <w:gridCol w:w="1533"/>
        <w:gridCol w:w="1483"/>
        <w:gridCol w:w="1343"/>
      </w:tblGrid>
      <w:tr w14:paraId="2882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74" w:hRule="atLeast"/>
          <w:tblCellSpacing w:w="15" w:type="dxa"/>
        </w:trPr>
        <w:tc>
          <w:tcPr>
            <w:tcW w:w="342" w:type="dxa"/>
            <w:tcMar>
              <w:top w:w="0" w:type="dxa"/>
              <w:bottom w:w="0" w:type="dxa"/>
            </w:tcMar>
            <w:vAlign w:val="center"/>
          </w:tcPr>
          <w:p w14:paraId="17E94AE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highlight w:val="none"/>
              </w:rPr>
            </w:pPr>
            <w:r>
              <w:rPr>
                <w:rFonts w:hint="eastAsia" w:ascii="宋体" w:hAnsi="宋体" w:cs="宋体"/>
                <w:highlight w:val="none"/>
              </w:rPr>
              <w:t>序号</w:t>
            </w:r>
          </w:p>
        </w:tc>
        <w:tc>
          <w:tcPr>
            <w:tcW w:w="763" w:type="dxa"/>
            <w:tcMar>
              <w:top w:w="0" w:type="dxa"/>
              <w:bottom w:w="0" w:type="dxa"/>
            </w:tcMar>
            <w:vAlign w:val="center"/>
          </w:tcPr>
          <w:p w14:paraId="10588F7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highlight w:val="none"/>
              </w:rPr>
            </w:pPr>
            <w:r>
              <w:rPr>
                <w:rFonts w:hint="eastAsia" w:ascii="宋体" w:hAnsi="宋体" w:cs="宋体"/>
                <w:highlight w:val="none"/>
              </w:rPr>
              <w:t>部门</w:t>
            </w:r>
          </w:p>
        </w:tc>
        <w:tc>
          <w:tcPr>
            <w:tcW w:w="912" w:type="dxa"/>
            <w:tcMar>
              <w:top w:w="0" w:type="dxa"/>
              <w:bottom w:w="0" w:type="dxa"/>
            </w:tcMar>
            <w:vAlign w:val="center"/>
          </w:tcPr>
          <w:p w14:paraId="1440146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highlight w:val="none"/>
              </w:rPr>
            </w:pPr>
            <w:r>
              <w:rPr>
                <w:rFonts w:hint="eastAsia" w:ascii="宋体" w:hAnsi="宋体" w:cs="宋体"/>
                <w:highlight w:val="none"/>
              </w:rPr>
              <w:t>岗位名称</w:t>
            </w:r>
          </w:p>
        </w:tc>
        <w:tc>
          <w:tcPr>
            <w:tcW w:w="3270" w:type="dxa"/>
            <w:tcMar>
              <w:top w:w="0" w:type="dxa"/>
              <w:bottom w:w="0" w:type="dxa"/>
            </w:tcMar>
            <w:vAlign w:val="center"/>
          </w:tcPr>
          <w:p w14:paraId="40D4902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hint="eastAsia" w:ascii="宋体" w:hAnsi="宋体" w:cs="宋体"/>
                <w:highlight w:val="none"/>
              </w:rPr>
            </w:pPr>
            <w:r>
              <w:rPr>
                <w:rFonts w:hint="eastAsia" w:ascii="宋体" w:hAnsi="宋体" w:cs="宋体"/>
                <w:highlight w:val="none"/>
              </w:rPr>
              <w:t>工作职责</w:t>
            </w:r>
          </w:p>
        </w:tc>
        <w:tc>
          <w:tcPr>
            <w:tcW w:w="1503" w:type="dxa"/>
            <w:tcMar>
              <w:top w:w="0" w:type="dxa"/>
              <w:bottom w:w="0" w:type="dxa"/>
            </w:tcMar>
            <w:vAlign w:val="center"/>
          </w:tcPr>
          <w:p w14:paraId="68C39D1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hint="eastAsia" w:ascii="宋体" w:hAnsi="宋体" w:cs="宋体"/>
                <w:highlight w:val="none"/>
                <w:lang w:val="en-US" w:eastAsia="zh-CN"/>
              </w:rPr>
            </w:pPr>
            <w:r>
              <w:rPr>
                <w:rFonts w:hint="eastAsia" w:ascii="宋体" w:hAnsi="宋体" w:cs="宋体"/>
                <w:highlight w:val="none"/>
                <w:lang w:val="en-US" w:eastAsia="zh-CN"/>
              </w:rPr>
              <w:t>数量（人）</w:t>
            </w:r>
          </w:p>
        </w:tc>
        <w:tc>
          <w:tcPr>
            <w:tcW w:w="1453" w:type="dxa"/>
            <w:tcMar>
              <w:top w:w="0" w:type="dxa"/>
              <w:bottom w:w="0" w:type="dxa"/>
            </w:tcMar>
            <w:vAlign w:val="center"/>
          </w:tcPr>
          <w:p w14:paraId="1704B05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hint="eastAsia" w:ascii="宋体" w:hAnsi="宋体" w:cs="宋体" w:eastAsiaTheme="minorEastAsia"/>
                <w:highlight w:val="none"/>
                <w:lang w:val="en-US" w:eastAsia="zh-CN"/>
              </w:rPr>
            </w:pPr>
            <w:r>
              <w:rPr>
                <w:rFonts w:hint="eastAsia" w:ascii="宋体" w:hAnsi="宋体" w:cs="宋体"/>
                <w:highlight w:val="none"/>
                <w:lang w:val="en-US" w:eastAsia="zh-CN"/>
              </w:rPr>
              <w:t>单价（元/人·月）</w:t>
            </w:r>
          </w:p>
        </w:tc>
        <w:tc>
          <w:tcPr>
            <w:tcW w:w="1298" w:type="dxa"/>
            <w:tcMar>
              <w:top w:w="0" w:type="dxa"/>
              <w:bottom w:w="0" w:type="dxa"/>
            </w:tcMar>
            <w:vAlign w:val="center"/>
          </w:tcPr>
          <w:p w14:paraId="60AED74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hint="default" w:ascii="宋体" w:hAnsi="宋体" w:cs="宋体" w:eastAsiaTheme="minorEastAsia"/>
                <w:highlight w:val="none"/>
                <w:lang w:val="en-US" w:eastAsia="zh-CN"/>
              </w:rPr>
            </w:pPr>
            <w:r>
              <w:rPr>
                <w:rFonts w:hint="eastAsia" w:ascii="宋体" w:hAnsi="宋体" w:cs="宋体"/>
                <w:highlight w:val="none"/>
                <w:lang w:val="en-US" w:eastAsia="zh-CN"/>
              </w:rPr>
              <w:t>总价（元/3年）</w:t>
            </w:r>
          </w:p>
        </w:tc>
      </w:tr>
      <w:tr w14:paraId="1C3C1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68" w:hRule="atLeast"/>
          <w:tblCellSpacing w:w="15" w:type="dxa"/>
        </w:trPr>
        <w:tc>
          <w:tcPr>
            <w:tcW w:w="342" w:type="dxa"/>
            <w:tcMar>
              <w:top w:w="0" w:type="dxa"/>
              <w:bottom w:w="0" w:type="dxa"/>
            </w:tcMar>
            <w:vAlign w:val="center"/>
          </w:tcPr>
          <w:p w14:paraId="0A79829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1</w:t>
            </w:r>
          </w:p>
        </w:tc>
        <w:tc>
          <w:tcPr>
            <w:tcW w:w="763" w:type="dxa"/>
            <w:tcMar>
              <w:top w:w="0" w:type="dxa"/>
              <w:bottom w:w="0" w:type="dxa"/>
            </w:tcMar>
            <w:vAlign w:val="center"/>
          </w:tcPr>
          <w:p w14:paraId="15A9ABC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综合管理</w:t>
            </w:r>
          </w:p>
        </w:tc>
        <w:tc>
          <w:tcPr>
            <w:tcW w:w="912" w:type="dxa"/>
            <w:tcMar>
              <w:top w:w="0" w:type="dxa"/>
              <w:bottom w:w="0" w:type="dxa"/>
            </w:tcMar>
            <w:vAlign w:val="center"/>
          </w:tcPr>
          <w:p w14:paraId="121F7CC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项目主任</w:t>
            </w:r>
          </w:p>
        </w:tc>
        <w:tc>
          <w:tcPr>
            <w:tcW w:w="3270" w:type="dxa"/>
            <w:tcMar>
              <w:top w:w="0" w:type="dxa"/>
              <w:bottom w:w="0" w:type="dxa"/>
            </w:tcMar>
            <w:vAlign w:val="center"/>
          </w:tcPr>
          <w:p w14:paraId="55A4AE3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r>
              <w:rPr>
                <w:rFonts w:hint="eastAsia" w:ascii="宋体" w:hAnsi="宋体" w:cs="宋体"/>
                <w:color w:val="404040"/>
                <w:kern w:val="2"/>
                <w:highlight w:val="none"/>
              </w:rPr>
              <w:t>全面负责古街管理工作及对外协调工作</w:t>
            </w:r>
          </w:p>
        </w:tc>
        <w:tc>
          <w:tcPr>
            <w:tcW w:w="1503" w:type="dxa"/>
            <w:tcMar>
              <w:top w:w="0" w:type="dxa"/>
              <w:bottom w:w="0" w:type="dxa"/>
            </w:tcMar>
            <w:vAlign w:val="center"/>
          </w:tcPr>
          <w:p w14:paraId="004CBBC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hint="eastAsia" w:ascii="宋体" w:hAnsi="宋体" w:cs="宋体"/>
                <w:color w:val="404040"/>
                <w:kern w:val="2"/>
                <w:highlight w:val="none"/>
              </w:rPr>
            </w:pPr>
            <w:r>
              <w:rPr>
                <w:rFonts w:hint="eastAsia" w:ascii="宋体" w:hAnsi="宋体" w:cs="宋体"/>
                <w:color w:val="404040"/>
                <w:kern w:val="2"/>
                <w:highlight w:val="none"/>
              </w:rPr>
              <w:t>1</w:t>
            </w:r>
          </w:p>
        </w:tc>
        <w:tc>
          <w:tcPr>
            <w:tcW w:w="1453" w:type="dxa"/>
            <w:tcMar>
              <w:top w:w="0" w:type="dxa"/>
              <w:bottom w:w="0" w:type="dxa"/>
            </w:tcMar>
            <w:vAlign w:val="center"/>
          </w:tcPr>
          <w:p w14:paraId="2EA3059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c>
          <w:tcPr>
            <w:tcW w:w="1298" w:type="dxa"/>
            <w:tcMar>
              <w:top w:w="0" w:type="dxa"/>
              <w:bottom w:w="0" w:type="dxa"/>
            </w:tcMar>
            <w:vAlign w:val="center"/>
          </w:tcPr>
          <w:p w14:paraId="16E8D75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r>
      <w:tr w14:paraId="565D9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68" w:hRule="atLeast"/>
          <w:tblCellSpacing w:w="15" w:type="dxa"/>
        </w:trPr>
        <w:tc>
          <w:tcPr>
            <w:tcW w:w="342" w:type="dxa"/>
            <w:tcMar>
              <w:top w:w="0" w:type="dxa"/>
              <w:bottom w:w="0" w:type="dxa"/>
            </w:tcMar>
            <w:vAlign w:val="center"/>
          </w:tcPr>
          <w:p w14:paraId="24D7064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2</w:t>
            </w:r>
          </w:p>
        </w:tc>
        <w:tc>
          <w:tcPr>
            <w:tcW w:w="763" w:type="dxa"/>
            <w:tcMar>
              <w:top w:w="0" w:type="dxa"/>
              <w:bottom w:w="0" w:type="dxa"/>
            </w:tcMar>
            <w:vAlign w:val="center"/>
          </w:tcPr>
          <w:p w14:paraId="1463236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行政综合部</w:t>
            </w:r>
          </w:p>
        </w:tc>
        <w:tc>
          <w:tcPr>
            <w:tcW w:w="912" w:type="dxa"/>
            <w:tcMar>
              <w:top w:w="0" w:type="dxa"/>
              <w:bottom w:w="0" w:type="dxa"/>
            </w:tcMar>
            <w:vAlign w:val="center"/>
          </w:tcPr>
          <w:p w14:paraId="73CD5BE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行政、客服</w:t>
            </w:r>
          </w:p>
        </w:tc>
        <w:tc>
          <w:tcPr>
            <w:tcW w:w="3270" w:type="dxa"/>
            <w:tcMar>
              <w:top w:w="0" w:type="dxa"/>
              <w:bottom w:w="0" w:type="dxa"/>
            </w:tcMar>
            <w:vAlign w:val="center"/>
          </w:tcPr>
          <w:p w14:paraId="3AF2ED5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r>
              <w:rPr>
                <w:rFonts w:hint="eastAsia" w:ascii="宋体" w:hAnsi="宋体" w:cs="宋体"/>
                <w:color w:val="404040"/>
                <w:kern w:val="2"/>
                <w:highlight w:val="none"/>
              </w:rPr>
              <w:t>负责古街部分信息处理、客户接待服务、咨询及档案管理</w:t>
            </w:r>
          </w:p>
        </w:tc>
        <w:tc>
          <w:tcPr>
            <w:tcW w:w="1503" w:type="dxa"/>
            <w:tcMar>
              <w:top w:w="0" w:type="dxa"/>
              <w:bottom w:w="0" w:type="dxa"/>
            </w:tcMar>
            <w:vAlign w:val="center"/>
          </w:tcPr>
          <w:p w14:paraId="0DC0C89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hint="eastAsia" w:ascii="宋体" w:hAnsi="宋体" w:cs="宋体"/>
                <w:color w:val="404040"/>
                <w:kern w:val="2"/>
                <w:highlight w:val="none"/>
              </w:rPr>
            </w:pPr>
            <w:r>
              <w:rPr>
                <w:rFonts w:hint="eastAsia" w:ascii="宋体" w:hAnsi="宋体" w:cs="宋体"/>
                <w:color w:val="404040"/>
                <w:kern w:val="2"/>
                <w:highlight w:val="none"/>
              </w:rPr>
              <w:t>3</w:t>
            </w:r>
          </w:p>
        </w:tc>
        <w:tc>
          <w:tcPr>
            <w:tcW w:w="1453" w:type="dxa"/>
            <w:tcMar>
              <w:top w:w="0" w:type="dxa"/>
              <w:bottom w:w="0" w:type="dxa"/>
            </w:tcMar>
            <w:vAlign w:val="center"/>
          </w:tcPr>
          <w:p w14:paraId="1A825CF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c>
          <w:tcPr>
            <w:tcW w:w="1298" w:type="dxa"/>
            <w:tcMar>
              <w:top w:w="0" w:type="dxa"/>
              <w:bottom w:w="0" w:type="dxa"/>
            </w:tcMar>
            <w:vAlign w:val="center"/>
          </w:tcPr>
          <w:p w14:paraId="48E61B7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r>
      <w:tr w14:paraId="2283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294" w:hRule="atLeast"/>
          <w:tblCellSpacing w:w="15" w:type="dxa"/>
        </w:trPr>
        <w:tc>
          <w:tcPr>
            <w:tcW w:w="342" w:type="dxa"/>
            <w:tcMar>
              <w:top w:w="0" w:type="dxa"/>
              <w:bottom w:w="0" w:type="dxa"/>
            </w:tcMar>
            <w:vAlign w:val="center"/>
          </w:tcPr>
          <w:p w14:paraId="1036872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3</w:t>
            </w:r>
          </w:p>
        </w:tc>
        <w:tc>
          <w:tcPr>
            <w:tcW w:w="763" w:type="dxa"/>
            <w:tcMar>
              <w:top w:w="0" w:type="dxa"/>
              <w:bottom w:w="0" w:type="dxa"/>
            </w:tcMar>
            <w:vAlign w:val="center"/>
          </w:tcPr>
          <w:p w14:paraId="25FABA1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秩序维护部</w:t>
            </w:r>
          </w:p>
        </w:tc>
        <w:tc>
          <w:tcPr>
            <w:tcW w:w="912" w:type="dxa"/>
            <w:tcMar>
              <w:top w:w="0" w:type="dxa"/>
              <w:bottom w:w="0" w:type="dxa"/>
            </w:tcMar>
            <w:vAlign w:val="center"/>
          </w:tcPr>
          <w:p w14:paraId="552628E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p>
          <w:p w14:paraId="0F2AC2F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保安员</w:t>
            </w:r>
          </w:p>
          <w:p w14:paraId="525FE5F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both"/>
              <w:outlineLvl w:val="9"/>
              <w:rPr>
                <w:rFonts w:ascii="宋体" w:hAnsi="宋体" w:cs="宋体"/>
                <w:color w:val="404040"/>
                <w:kern w:val="2"/>
                <w:highlight w:val="none"/>
              </w:rPr>
            </w:pPr>
          </w:p>
        </w:tc>
        <w:tc>
          <w:tcPr>
            <w:tcW w:w="3270" w:type="dxa"/>
            <w:tcMar>
              <w:top w:w="0" w:type="dxa"/>
              <w:bottom w:w="0" w:type="dxa"/>
            </w:tcMar>
            <w:vAlign w:val="center"/>
          </w:tcPr>
          <w:p w14:paraId="1F96E1B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r>
              <w:rPr>
                <w:rFonts w:hint="eastAsia" w:ascii="宋体" w:hAnsi="宋体" w:cs="宋体"/>
                <w:color w:val="404040"/>
                <w:kern w:val="2"/>
                <w:highlight w:val="none"/>
              </w:rPr>
              <w:t>其中设立1名保安队长，负责对整个服务区域的安管工作进行计划管理，保安员负责巡查各出入口引导、监控及消防系统的使用等</w:t>
            </w:r>
          </w:p>
        </w:tc>
        <w:tc>
          <w:tcPr>
            <w:tcW w:w="1503" w:type="dxa"/>
            <w:tcMar>
              <w:top w:w="0" w:type="dxa"/>
              <w:bottom w:w="0" w:type="dxa"/>
            </w:tcMar>
            <w:vAlign w:val="center"/>
          </w:tcPr>
          <w:p w14:paraId="1E13DD2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hint="eastAsia" w:ascii="宋体" w:hAnsi="宋体" w:cs="宋体"/>
                <w:color w:val="404040"/>
                <w:kern w:val="2"/>
                <w:highlight w:val="none"/>
              </w:rPr>
            </w:pPr>
            <w:r>
              <w:rPr>
                <w:rFonts w:hint="eastAsia" w:ascii="宋体" w:hAnsi="宋体" w:cs="宋体"/>
                <w:color w:val="404040"/>
                <w:kern w:val="2"/>
                <w:highlight w:val="none"/>
              </w:rPr>
              <w:t>21</w:t>
            </w:r>
          </w:p>
        </w:tc>
        <w:tc>
          <w:tcPr>
            <w:tcW w:w="1453" w:type="dxa"/>
            <w:tcMar>
              <w:top w:w="0" w:type="dxa"/>
              <w:bottom w:w="0" w:type="dxa"/>
            </w:tcMar>
            <w:vAlign w:val="center"/>
          </w:tcPr>
          <w:p w14:paraId="20C0667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c>
          <w:tcPr>
            <w:tcW w:w="1298" w:type="dxa"/>
            <w:tcMar>
              <w:top w:w="0" w:type="dxa"/>
              <w:bottom w:w="0" w:type="dxa"/>
            </w:tcMar>
            <w:vAlign w:val="center"/>
          </w:tcPr>
          <w:p w14:paraId="1BAF665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r>
      <w:tr w14:paraId="01812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68" w:hRule="atLeast"/>
          <w:tblCellSpacing w:w="15" w:type="dxa"/>
        </w:trPr>
        <w:tc>
          <w:tcPr>
            <w:tcW w:w="342" w:type="dxa"/>
            <w:tcMar>
              <w:top w:w="0" w:type="dxa"/>
              <w:bottom w:w="0" w:type="dxa"/>
            </w:tcMar>
            <w:vAlign w:val="center"/>
          </w:tcPr>
          <w:p w14:paraId="51E63FF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4</w:t>
            </w:r>
          </w:p>
        </w:tc>
        <w:tc>
          <w:tcPr>
            <w:tcW w:w="763" w:type="dxa"/>
            <w:tcMar>
              <w:top w:w="0" w:type="dxa"/>
              <w:bottom w:w="0" w:type="dxa"/>
            </w:tcMar>
            <w:vAlign w:val="center"/>
          </w:tcPr>
          <w:p w14:paraId="3D448A8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保洁部</w:t>
            </w:r>
          </w:p>
        </w:tc>
        <w:tc>
          <w:tcPr>
            <w:tcW w:w="912" w:type="dxa"/>
            <w:tcMar>
              <w:top w:w="0" w:type="dxa"/>
              <w:bottom w:w="0" w:type="dxa"/>
            </w:tcMar>
            <w:vAlign w:val="center"/>
          </w:tcPr>
          <w:p w14:paraId="7380535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保洁员</w:t>
            </w:r>
          </w:p>
        </w:tc>
        <w:tc>
          <w:tcPr>
            <w:tcW w:w="3270" w:type="dxa"/>
            <w:tcMar>
              <w:top w:w="0" w:type="dxa"/>
              <w:bottom w:w="0" w:type="dxa"/>
            </w:tcMar>
            <w:vAlign w:val="center"/>
          </w:tcPr>
          <w:p w14:paraId="77675C4B">
            <w:pPr>
              <w:keepNext w:val="0"/>
              <w:keepLines w:val="0"/>
              <w:pageBreakBefore w:val="0"/>
              <w:widowControl/>
              <w:kinsoku/>
              <w:overflowPunct/>
              <w:topLinePunct w:val="0"/>
              <w:autoSpaceDN/>
              <w:bidi w:val="0"/>
              <w:adjustRightInd/>
              <w:snapToGrid w:val="0"/>
              <w:spacing w:beforeAutospacing="0" w:afterAutospacing="0" w:line="240" w:lineRule="auto"/>
              <w:ind w:right="0" w:rightChars="0"/>
              <w:jc w:val="left"/>
              <w:outlineLvl w:val="9"/>
              <w:rPr>
                <w:rFonts w:hint="eastAsia" w:ascii="宋体" w:hAnsi="宋体" w:cs="宋体"/>
                <w:color w:val="404040"/>
                <w:sz w:val="24"/>
                <w:szCs w:val="24"/>
                <w:highlight w:val="none"/>
              </w:rPr>
            </w:pPr>
            <w:r>
              <w:rPr>
                <w:rFonts w:hint="eastAsia" w:ascii="宋体" w:hAnsi="宋体" w:cs="宋体"/>
                <w:color w:val="404040"/>
                <w:sz w:val="24"/>
                <w:szCs w:val="24"/>
                <w:highlight w:val="none"/>
              </w:rPr>
              <w:t>负责古街日常街道清扫，公厕清洗消毒等</w:t>
            </w:r>
          </w:p>
        </w:tc>
        <w:tc>
          <w:tcPr>
            <w:tcW w:w="1503" w:type="dxa"/>
            <w:tcMar>
              <w:top w:w="0" w:type="dxa"/>
              <w:bottom w:w="0" w:type="dxa"/>
            </w:tcMar>
            <w:vAlign w:val="center"/>
          </w:tcPr>
          <w:p w14:paraId="2EA40DB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hint="eastAsia" w:ascii="宋体" w:hAnsi="宋体" w:cs="宋体"/>
                <w:color w:val="404040"/>
                <w:sz w:val="24"/>
                <w:szCs w:val="24"/>
                <w:highlight w:val="none"/>
              </w:rPr>
            </w:pPr>
            <w:r>
              <w:rPr>
                <w:rFonts w:hint="eastAsia" w:ascii="宋体" w:hAnsi="宋体" w:cs="宋体"/>
                <w:color w:val="404040"/>
                <w:kern w:val="2"/>
                <w:highlight w:val="none"/>
              </w:rPr>
              <w:t>10</w:t>
            </w:r>
          </w:p>
        </w:tc>
        <w:tc>
          <w:tcPr>
            <w:tcW w:w="1453" w:type="dxa"/>
            <w:tcMar>
              <w:top w:w="0" w:type="dxa"/>
              <w:bottom w:w="0" w:type="dxa"/>
            </w:tcMar>
            <w:vAlign w:val="center"/>
          </w:tcPr>
          <w:p w14:paraId="5BF67857">
            <w:pPr>
              <w:keepNext w:val="0"/>
              <w:keepLines w:val="0"/>
              <w:pageBreakBefore w:val="0"/>
              <w:widowControl/>
              <w:kinsoku/>
              <w:overflowPunct/>
              <w:topLinePunct w:val="0"/>
              <w:autoSpaceDN/>
              <w:bidi w:val="0"/>
              <w:adjustRightInd/>
              <w:snapToGrid w:val="0"/>
              <w:spacing w:beforeAutospacing="0" w:afterAutospacing="0" w:line="240" w:lineRule="auto"/>
              <w:ind w:right="0" w:rightChars="0"/>
              <w:jc w:val="left"/>
              <w:outlineLvl w:val="9"/>
              <w:rPr>
                <w:rFonts w:hint="eastAsia" w:ascii="宋体" w:hAnsi="宋体" w:cs="宋体"/>
                <w:color w:val="404040"/>
                <w:sz w:val="24"/>
                <w:szCs w:val="24"/>
                <w:highlight w:val="none"/>
              </w:rPr>
            </w:pPr>
          </w:p>
        </w:tc>
        <w:tc>
          <w:tcPr>
            <w:tcW w:w="1298" w:type="dxa"/>
            <w:tcMar>
              <w:top w:w="0" w:type="dxa"/>
              <w:bottom w:w="0" w:type="dxa"/>
            </w:tcMar>
            <w:vAlign w:val="center"/>
          </w:tcPr>
          <w:p w14:paraId="657FA6E1">
            <w:pPr>
              <w:keepNext w:val="0"/>
              <w:keepLines w:val="0"/>
              <w:pageBreakBefore w:val="0"/>
              <w:widowControl/>
              <w:kinsoku/>
              <w:overflowPunct/>
              <w:topLinePunct w:val="0"/>
              <w:autoSpaceDN/>
              <w:bidi w:val="0"/>
              <w:adjustRightInd/>
              <w:snapToGrid w:val="0"/>
              <w:spacing w:beforeAutospacing="0" w:afterAutospacing="0" w:line="240" w:lineRule="auto"/>
              <w:ind w:right="0" w:rightChars="0"/>
              <w:jc w:val="left"/>
              <w:outlineLvl w:val="9"/>
              <w:rPr>
                <w:rFonts w:hint="eastAsia" w:ascii="宋体" w:hAnsi="宋体" w:cs="宋体"/>
                <w:color w:val="404040"/>
                <w:sz w:val="24"/>
                <w:szCs w:val="24"/>
                <w:highlight w:val="none"/>
              </w:rPr>
            </w:pPr>
          </w:p>
        </w:tc>
      </w:tr>
      <w:tr w14:paraId="04BCA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82" w:hRule="atLeast"/>
          <w:tblCellSpacing w:w="15" w:type="dxa"/>
        </w:trPr>
        <w:tc>
          <w:tcPr>
            <w:tcW w:w="342" w:type="dxa"/>
            <w:vMerge w:val="restart"/>
            <w:tcMar>
              <w:top w:w="0" w:type="dxa"/>
              <w:bottom w:w="0" w:type="dxa"/>
            </w:tcMar>
            <w:vAlign w:val="center"/>
          </w:tcPr>
          <w:p w14:paraId="38EDFF0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5</w:t>
            </w:r>
          </w:p>
        </w:tc>
        <w:tc>
          <w:tcPr>
            <w:tcW w:w="763" w:type="dxa"/>
            <w:vMerge w:val="restart"/>
            <w:tcMar>
              <w:top w:w="0" w:type="dxa"/>
              <w:bottom w:w="0" w:type="dxa"/>
            </w:tcMar>
            <w:vAlign w:val="center"/>
          </w:tcPr>
          <w:p w14:paraId="4BA34ED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工程维修</w:t>
            </w:r>
          </w:p>
        </w:tc>
        <w:tc>
          <w:tcPr>
            <w:tcW w:w="912" w:type="dxa"/>
            <w:tcMar>
              <w:top w:w="0" w:type="dxa"/>
              <w:bottom w:w="0" w:type="dxa"/>
            </w:tcMar>
            <w:vAlign w:val="center"/>
          </w:tcPr>
          <w:p w14:paraId="3F72661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水电维修</w:t>
            </w:r>
          </w:p>
        </w:tc>
        <w:tc>
          <w:tcPr>
            <w:tcW w:w="3270" w:type="dxa"/>
            <w:tcMar>
              <w:top w:w="0" w:type="dxa"/>
              <w:bottom w:w="0" w:type="dxa"/>
            </w:tcMar>
            <w:vAlign w:val="center"/>
          </w:tcPr>
          <w:p w14:paraId="1B7EC9B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r>
              <w:rPr>
                <w:rFonts w:hint="eastAsia" w:ascii="宋体" w:hAnsi="宋体" w:cs="宋体"/>
                <w:color w:val="404040"/>
                <w:kern w:val="2"/>
                <w:highlight w:val="none"/>
              </w:rPr>
              <w:t>负责设施设备日常维修保养工作及水电气消耗计量和节能保障</w:t>
            </w:r>
          </w:p>
        </w:tc>
        <w:tc>
          <w:tcPr>
            <w:tcW w:w="1503" w:type="dxa"/>
            <w:tcMar>
              <w:top w:w="0" w:type="dxa"/>
              <w:bottom w:w="0" w:type="dxa"/>
            </w:tcMar>
            <w:vAlign w:val="center"/>
          </w:tcPr>
          <w:p w14:paraId="2E89773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hint="eastAsia" w:ascii="宋体" w:hAnsi="宋体" w:cs="宋体"/>
                <w:color w:val="404040"/>
                <w:kern w:val="2"/>
                <w:highlight w:val="none"/>
              </w:rPr>
            </w:pPr>
            <w:r>
              <w:rPr>
                <w:rFonts w:hint="eastAsia" w:ascii="宋体" w:hAnsi="宋体" w:cs="宋体"/>
                <w:color w:val="404040"/>
                <w:kern w:val="2"/>
                <w:highlight w:val="none"/>
              </w:rPr>
              <w:t>2</w:t>
            </w:r>
          </w:p>
        </w:tc>
        <w:tc>
          <w:tcPr>
            <w:tcW w:w="1453" w:type="dxa"/>
            <w:tcMar>
              <w:top w:w="0" w:type="dxa"/>
              <w:bottom w:w="0" w:type="dxa"/>
            </w:tcMar>
            <w:vAlign w:val="center"/>
          </w:tcPr>
          <w:p w14:paraId="75BCED9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c>
          <w:tcPr>
            <w:tcW w:w="1298" w:type="dxa"/>
            <w:tcMar>
              <w:top w:w="0" w:type="dxa"/>
              <w:bottom w:w="0" w:type="dxa"/>
            </w:tcMar>
            <w:vAlign w:val="center"/>
          </w:tcPr>
          <w:p w14:paraId="1CC7D5F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r>
      <w:tr w14:paraId="214C0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82" w:hRule="atLeast"/>
          <w:tblCellSpacing w:w="15" w:type="dxa"/>
        </w:trPr>
        <w:tc>
          <w:tcPr>
            <w:tcW w:w="342" w:type="dxa"/>
            <w:vMerge w:val="continue"/>
            <w:tcMar>
              <w:top w:w="0" w:type="dxa"/>
              <w:bottom w:w="0" w:type="dxa"/>
            </w:tcMar>
            <w:vAlign w:val="center"/>
          </w:tcPr>
          <w:p w14:paraId="5D06E73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p>
        </w:tc>
        <w:tc>
          <w:tcPr>
            <w:tcW w:w="763" w:type="dxa"/>
            <w:vMerge w:val="continue"/>
            <w:tcMar>
              <w:top w:w="0" w:type="dxa"/>
              <w:bottom w:w="0" w:type="dxa"/>
            </w:tcMar>
            <w:vAlign w:val="center"/>
          </w:tcPr>
          <w:p w14:paraId="20BBAD3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p>
        </w:tc>
        <w:tc>
          <w:tcPr>
            <w:tcW w:w="912" w:type="dxa"/>
            <w:tcMar>
              <w:top w:w="0" w:type="dxa"/>
              <w:bottom w:w="0" w:type="dxa"/>
            </w:tcMar>
            <w:vAlign w:val="center"/>
          </w:tcPr>
          <w:p w14:paraId="291C752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木工</w:t>
            </w:r>
          </w:p>
        </w:tc>
        <w:tc>
          <w:tcPr>
            <w:tcW w:w="3270" w:type="dxa"/>
            <w:tcMar>
              <w:top w:w="0" w:type="dxa"/>
              <w:bottom w:w="0" w:type="dxa"/>
            </w:tcMar>
            <w:vAlign w:val="center"/>
          </w:tcPr>
          <w:p w14:paraId="2DC2D40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r>
              <w:rPr>
                <w:rFonts w:hint="eastAsia" w:ascii="宋体" w:hAnsi="宋体" w:cs="宋体"/>
                <w:color w:val="404040"/>
                <w:kern w:val="2"/>
                <w:highlight w:val="none"/>
              </w:rPr>
              <w:t>负责对古街日常古建木构检修</w:t>
            </w:r>
          </w:p>
        </w:tc>
        <w:tc>
          <w:tcPr>
            <w:tcW w:w="1503" w:type="dxa"/>
            <w:tcMar>
              <w:top w:w="0" w:type="dxa"/>
              <w:bottom w:w="0" w:type="dxa"/>
            </w:tcMar>
            <w:vAlign w:val="center"/>
          </w:tcPr>
          <w:p w14:paraId="37F83D5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hint="eastAsia" w:ascii="宋体" w:hAnsi="宋体" w:cs="宋体"/>
                <w:color w:val="404040"/>
                <w:kern w:val="2"/>
                <w:highlight w:val="none"/>
              </w:rPr>
            </w:pPr>
            <w:r>
              <w:rPr>
                <w:rFonts w:hint="eastAsia" w:ascii="宋体" w:hAnsi="宋体" w:cs="宋体"/>
                <w:color w:val="404040"/>
                <w:kern w:val="2"/>
                <w:highlight w:val="none"/>
              </w:rPr>
              <w:t>1</w:t>
            </w:r>
          </w:p>
        </w:tc>
        <w:tc>
          <w:tcPr>
            <w:tcW w:w="1453" w:type="dxa"/>
            <w:tcMar>
              <w:top w:w="0" w:type="dxa"/>
              <w:bottom w:w="0" w:type="dxa"/>
            </w:tcMar>
            <w:vAlign w:val="center"/>
          </w:tcPr>
          <w:p w14:paraId="62A0441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c>
          <w:tcPr>
            <w:tcW w:w="1298" w:type="dxa"/>
            <w:tcMar>
              <w:top w:w="0" w:type="dxa"/>
              <w:bottom w:w="0" w:type="dxa"/>
            </w:tcMar>
            <w:vAlign w:val="center"/>
          </w:tcPr>
          <w:p w14:paraId="60311C0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r>
      <w:tr w14:paraId="0B7D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82" w:hRule="atLeast"/>
          <w:tblCellSpacing w:w="15" w:type="dxa"/>
        </w:trPr>
        <w:tc>
          <w:tcPr>
            <w:tcW w:w="5377" w:type="dxa"/>
            <w:gridSpan w:val="4"/>
            <w:tcMar>
              <w:top w:w="0" w:type="dxa"/>
              <w:bottom w:w="0" w:type="dxa"/>
            </w:tcMar>
            <w:vAlign w:val="center"/>
          </w:tcPr>
          <w:p w14:paraId="45F97A8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hint="eastAsia" w:ascii="宋体" w:hAnsi="宋体" w:cs="宋体"/>
                <w:color w:val="404040"/>
                <w:kern w:val="2"/>
                <w:highlight w:val="none"/>
              </w:rPr>
            </w:pPr>
            <w:r>
              <w:rPr>
                <w:rFonts w:hint="eastAsia" w:ascii="宋体" w:hAnsi="宋体" w:cs="宋体"/>
                <w:color w:val="404040"/>
                <w:kern w:val="2"/>
                <w:highlight w:val="none"/>
              </w:rPr>
              <w:t>合计</w:t>
            </w:r>
          </w:p>
        </w:tc>
        <w:tc>
          <w:tcPr>
            <w:tcW w:w="1503" w:type="dxa"/>
            <w:tcMar>
              <w:top w:w="0" w:type="dxa"/>
              <w:bottom w:w="0" w:type="dxa"/>
            </w:tcMar>
            <w:vAlign w:val="center"/>
          </w:tcPr>
          <w:p w14:paraId="3BB27C9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hint="eastAsia" w:ascii="宋体" w:hAnsi="宋体" w:cs="宋体"/>
                <w:color w:val="404040"/>
                <w:kern w:val="2"/>
                <w:highlight w:val="none"/>
              </w:rPr>
            </w:pPr>
            <w:r>
              <w:rPr>
                <w:rFonts w:hint="eastAsia" w:ascii="宋体" w:hAnsi="宋体" w:cs="宋体"/>
                <w:color w:val="404040"/>
                <w:kern w:val="2"/>
                <w:highlight w:val="none"/>
              </w:rPr>
              <w:t>38人</w:t>
            </w:r>
          </w:p>
        </w:tc>
        <w:tc>
          <w:tcPr>
            <w:tcW w:w="1453" w:type="dxa"/>
            <w:tcMar>
              <w:top w:w="0" w:type="dxa"/>
              <w:bottom w:w="0" w:type="dxa"/>
            </w:tcMar>
            <w:vAlign w:val="center"/>
          </w:tcPr>
          <w:p w14:paraId="1EE93DD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c>
          <w:tcPr>
            <w:tcW w:w="1298" w:type="dxa"/>
            <w:tcMar>
              <w:top w:w="0" w:type="dxa"/>
              <w:bottom w:w="0" w:type="dxa"/>
            </w:tcMar>
            <w:vAlign w:val="center"/>
          </w:tcPr>
          <w:p w14:paraId="757118B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hint="eastAsia" w:ascii="宋体" w:hAnsi="宋体" w:cs="宋体"/>
                <w:color w:val="404040"/>
                <w:kern w:val="2"/>
                <w:highlight w:val="none"/>
              </w:rPr>
            </w:pPr>
          </w:p>
        </w:tc>
      </w:tr>
    </w:tbl>
    <w:p w14:paraId="396BC149">
      <w:pPr>
        <w:keepNext w:val="0"/>
        <w:keepLines w:val="0"/>
        <w:pageBreakBefore w:val="0"/>
        <w:widowControl w:val="0"/>
        <w:kinsoku/>
        <w:wordWrap/>
        <w:overflowPunct/>
        <w:topLinePunct w:val="0"/>
        <w:autoSpaceDE/>
        <w:autoSpaceDN/>
        <w:bidi w:val="0"/>
        <w:adjustRightInd/>
        <w:snapToGrid w:val="0"/>
        <w:ind w:left="-199" w:leftChars="-95"/>
        <w:textAlignment w:val="auto"/>
        <w:rPr>
          <w:rFonts w:hint="eastAsia" w:ascii="宋体" w:hAnsi="宋体" w:eastAsia="宋体" w:cs="宋体"/>
          <w:sz w:val="24"/>
          <w:lang w:val="en-US" w:eastAsia="zh-CN"/>
        </w:rPr>
      </w:pPr>
      <w:r>
        <w:rPr>
          <w:rFonts w:hint="eastAsia" w:ascii="宋体" w:hAnsi="宋体" w:eastAsia="宋体" w:cs="宋体"/>
          <w:sz w:val="24"/>
        </w:rPr>
        <w:t>注：</w:t>
      </w:r>
      <w:r>
        <w:rPr>
          <w:rFonts w:hint="eastAsia" w:ascii="宋体" w:hAnsi="宋体" w:eastAsia="宋体" w:cs="宋体"/>
          <w:sz w:val="24"/>
          <w:lang w:val="en-US" w:eastAsia="zh-CN"/>
        </w:rPr>
        <w:t>1.</w:t>
      </w:r>
      <w:r>
        <w:rPr>
          <w:rFonts w:hint="eastAsia" w:ascii="宋体" w:hAnsi="宋体" w:eastAsia="宋体" w:cs="宋体"/>
          <w:color w:val="auto"/>
          <w:sz w:val="24"/>
          <w:szCs w:val="20"/>
          <w:highlight w:val="none"/>
          <w:lang w:val="en-US" w:eastAsia="zh-CN"/>
        </w:rPr>
        <w:t>投标人的投标报价必须是完整的完税后报价。投标人的报价应包括:人员工资、福利、社险、住房公积金等人工费用、服装费、工具耗材费用、病媒生物防治服务费用、室内绿植租摆费用、专项保洁费用、办公费、企业利润及税金等为完成招标文件规定的一切工作所需的全部费用。</w:t>
      </w:r>
    </w:p>
    <w:p w14:paraId="06603C6C">
      <w:pPr>
        <w:pStyle w:val="2"/>
        <w:keepNext w:val="0"/>
        <w:keepLines w:val="0"/>
        <w:pageBreakBefore w:val="0"/>
        <w:widowControl w:val="0"/>
        <w:kinsoku/>
        <w:wordWrap/>
        <w:overflowPunct/>
        <w:topLinePunct w:val="0"/>
        <w:autoSpaceDE/>
        <w:autoSpaceDN/>
        <w:bidi w:val="0"/>
        <w:adjustRightInd/>
        <w:snapToGrid w:val="0"/>
        <w:spacing w:before="0"/>
        <w:textAlignment w:val="auto"/>
        <w:rPr>
          <w:rFonts w:hint="default" w:eastAsia="宋体"/>
          <w:lang w:val="en-US" w:eastAsia="zh-CN"/>
        </w:rPr>
      </w:pPr>
      <w:r>
        <w:rPr>
          <w:rFonts w:hint="eastAsia" w:hAnsi="宋体" w:cs="宋体"/>
          <w:sz w:val="24"/>
          <w:lang w:val="en-US" w:eastAsia="zh-CN"/>
        </w:rPr>
        <w:t>2.单价合计与总价不一致时，以单价为准。</w:t>
      </w:r>
    </w:p>
    <w:p w14:paraId="395DF5F7">
      <w:pPr>
        <w:ind w:right="-1801" w:firstLine="3780" w:firstLineChars="1575"/>
        <w:rPr>
          <w:rFonts w:hint="eastAsia" w:ascii="宋体" w:hAnsi="宋体" w:eastAsia="宋体" w:cs="宋体"/>
          <w:sz w:val="24"/>
        </w:rPr>
      </w:pPr>
      <w:r>
        <w:rPr>
          <w:rFonts w:hint="eastAsia" w:ascii="宋体" w:hAnsi="宋体" w:eastAsia="宋体" w:cs="宋体"/>
          <w:sz w:val="24"/>
        </w:rPr>
        <w:t>报价单位（必填）：</w:t>
      </w:r>
      <w:r>
        <w:rPr>
          <w:rFonts w:hint="eastAsia" w:ascii="宋体" w:hAnsi="宋体" w:eastAsia="宋体" w:cs="宋体"/>
          <w:sz w:val="24"/>
          <w:u w:val="single"/>
        </w:rPr>
        <w:t xml:space="preserve">                              </w:t>
      </w:r>
    </w:p>
    <w:p w14:paraId="13C13355">
      <w:pPr>
        <w:autoSpaceDE w:val="0"/>
        <w:autoSpaceDN w:val="0"/>
        <w:ind w:firstLine="3780" w:firstLineChars="1575"/>
        <w:rPr>
          <w:rFonts w:hint="eastAsia" w:ascii="宋体" w:hAnsi="宋体" w:eastAsia="宋体" w:cs="宋体"/>
          <w:sz w:val="24"/>
          <w:u w:val="single"/>
        </w:rPr>
      </w:pPr>
      <w:r>
        <w:rPr>
          <w:rFonts w:hint="eastAsia" w:ascii="宋体" w:hAnsi="宋体" w:eastAsia="宋体" w:cs="宋体"/>
          <w:sz w:val="24"/>
        </w:rPr>
        <w:t>详细地址（必填）：</w:t>
      </w:r>
      <w:r>
        <w:rPr>
          <w:rFonts w:hint="eastAsia" w:ascii="宋体" w:hAnsi="宋体" w:eastAsia="宋体" w:cs="宋体"/>
          <w:sz w:val="24"/>
          <w:u w:val="single"/>
        </w:rPr>
        <w:t xml:space="preserve">                              </w:t>
      </w:r>
    </w:p>
    <w:p w14:paraId="17C3D06A">
      <w:pPr>
        <w:autoSpaceDE w:val="0"/>
        <w:autoSpaceDN w:val="0"/>
        <w:ind w:firstLine="3780" w:firstLineChars="1575"/>
        <w:rPr>
          <w:rFonts w:hint="eastAsia" w:ascii="宋体" w:hAnsi="宋体" w:eastAsia="宋体" w:cs="宋体"/>
          <w:sz w:val="24"/>
        </w:rPr>
      </w:pPr>
      <w:r>
        <w:rPr>
          <w:rFonts w:hint="eastAsia" w:ascii="宋体" w:hAnsi="宋体" w:eastAsia="宋体" w:cs="宋体"/>
          <w:sz w:val="24"/>
        </w:rPr>
        <w:t>联 系 人（必填）：</w:t>
      </w:r>
      <w:r>
        <w:rPr>
          <w:rFonts w:hint="eastAsia" w:ascii="宋体" w:hAnsi="宋体" w:eastAsia="宋体" w:cs="宋体"/>
          <w:sz w:val="24"/>
          <w:u w:val="single"/>
        </w:rPr>
        <w:t xml:space="preserve">                              </w:t>
      </w:r>
    </w:p>
    <w:p w14:paraId="21CD720C">
      <w:pPr>
        <w:autoSpaceDE w:val="0"/>
        <w:autoSpaceDN w:val="0"/>
        <w:ind w:firstLine="3780" w:firstLineChars="1575"/>
        <w:rPr>
          <w:rFonts w:hint="eastAsia" w:ascii="宋体" w:hAnsi="宋体" w:eastAsia="宋体" w:cs="宋体"/>
          <w:sz w:val="24"/>
        </w:rPr>
      </w:pPr>
      <w:r>
        <w:rPr>
          <w:rFonts w:hint="eastAsia" w:ascii="宋体" w:hAnsi="宋体" w:eastAsia="宋体" w:cs="宋体"/>
          <w:sz w:val="24"/>
        </w:rPr>
        <w:t>移动电话（必填）：</w:t>
      </w:r>
      <w:r>
        <w:rPr>
          <w:rFonts w:hint="eastAsia" w:ascii="宋体" w:hAnsi="宋体" w:eastAsia="宋体" w:cs="宋体"/>
          <w:sz w:val="24"/>
          <w:u w:val="single"/>
        </w:rPr>
        <w:t xml:space="preserve">                              </w:t>
      </w:r>
    </w:p>
    <w:p w14:paraId="193982C7">
      <w:pPr>
        <w:pStyle w:val="12"/>
        <w:ind w:left="0" w:leftChars="0" w:firstLine="3780" w:firstLineChars="1575"/>
      </w:pPr>
      <w:r>
        <w:rPr>
          <w:rFonts w:hint="eastAsia" w:ascii="宋体" w:hAnsi="宋体" w:cs="宋体"/>
          <w:sz w:val="24"/>
        </w:rPr>
        <w:t>日    期（必填）：</w:t>
      </w:r>
      <w:r>
        <w:rPr>
          <w:rFonts w:hint="eastAsia" w:ascii="宋体" w:hAnsi="宋体" w:cs="宋体"/>
          <w:sz w:val="24"/>
          <w:u w:val="single"/>
        </w:rPr>
        <w:t xml:space="preserve">                              </w:t>
      </w:r>
    </w:p>
    <w:p w14:paraId="67427AF6">
      <w:pPr>
        <w:pStyle w:val="12"/>
        <w:ind w:left="0" w:leftChars="0" w:firstLine="3307" w:firstLineChars="1575"/>
      </w:pPr>
      <w:r>
        <w:br w:type="page"/>
      </w:r>
    </w:p>
    <w:p w14:paraId="63A79C18">
      <w:pPr>
        <w:pStyle w:val="10"/>
        <w:keepNext w:val="0"/>
        <w:keepLines w:val="0"/>
        <w:pageBreakBefore w:val="0"/>
        <w:widowControl/>
        <w:kinsoku/>
        <w:overflowPunct/>
        <w:topLinePunct w:val="0"/>
        <w:bidi w:val="0"/>
        <w:adjustRightInd/>
        <w:snapToGrid/>
        <w:spacing w:beforeAutospacing="0" w:afterAutospacing="0" w:line="240" w:lineRule="auto"/>
        <w:rPr>
          <w:rFonts w:hint="eastAsia"/>
          <w:b/>
          <w:bCs/>
          <w:sz w:val="24"/>
          <w:szCs w:val="24"/>
          <w:lang w:eastAsia="zh-CN"/>
        </w:rPr>
      </w:pPr>
      <w:r>
        <w:rPr>
          <w:rFonts w:hint="eastAsia"/>
          <w:b/>
          <w:bCs/>
          <w:sz w:val="24"/>
          <w:szCs w:val="24"/>
          <w:lang w:eastAsia="zh-CN"/>
        </w:rPr>
        <w:t>附件</w:t>
      </w:r>
      <w:r>
        <w:rPr>
          <w:rFonts w:hint="eastAsia"/>
          <w:b/>
          <w:bCs/>
          <w:sz w:val="24"/>
          <w:szCs w:val="24"/>
          <w:lang w:val="en-US" w:eastAsia="zh-CN"/>
        </w:rPr>
        <w:t>1</w:t>
      </w:r>
      <w:r>
        <w:rPr>
          <w:rFonts w:hint="eastAsia"/>
          <w:b/>
          <w:bCs/>
          <w:sz w:val="24"/>
          <w:szCs w:val="24"/>
          <w:lang w:eastAsia="zh-CN"/>
        </w:rPr>
        <w:t>：</w:t>
      </w:r>
    </w:p>
    <w:p w14:paraId="7BFC51CC">
      <w:pPr>
        <w:rPr>
          <w:rFonts w:hint="eastAsia"/>
          <w:lang w:eastAsia="zh-CN"/>
        </w:rPr>
      </w:pPr>
    </w:p>
    <w:p w14:paraId="66258B0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Style w:val="16"/>
          <w:rFonts w:hint="eastAsia" w:ascii="宋体" w:hAnsi="宋体" w:cs="宋体"/>
          <w:highlight w:val="none"/>
        </w:rPr>
        <w:t>第一节 物业管理的服务内容及要求</w:t>
      </w:r>
    </w:p>
    <w:p w14:paraId="575B7C8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b/>
          <w:bCs/>
          <w:highlight w:val="none"/>
        </w:rPr>
        <w:t>1、综合管理：</w:t>
      </w:r>
      <w:r>
        <w:rPr>
          <w:rFonts w:hint="eastAsia" w:ascii="宋体" w:hAnsi="宋体" w:cs="宋体"/>
          <w:highlight w:val="none"/>
        </w:rPr>
        <w:t>物业管理服务范围内，建立各类管理制度，要求各项配备到位、管理科学规范、沟通渠道畅通、创优目标明确；</w:t>
      </w:r>
    </w:p>
    <w:p w14:paraId="09AB298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b/>
          <w:bCs/>
          <w:highlight w:val="none"/>
        </w:rPr>
        <w:t>2、秩序及安全管理：</w:t>
      </w:r>
      <w:r>
        <w:rPr>
          <w:rFonts w:hint="eastAsia" w:ascii="宋体" w:hAnsi="宋体" w:cs="宋体"/>
          <w:highlight w:val="none"/>
        </w:rPr>
        <w:t>系统立足大局、审时度势，把维护社会治安稳定，尤其是兴化府历史文化街区的安全作为首要任务，开展“游客零投诉”、“治安刑事零案件”、“消防零事故”、“建设工地零案件”活动，及时化解古街建设过程中出现的矛盾，全力服务保障古街建设和旅游大发展。</w:t>
      </w:r>
    </w:p>
    <w:p w14:paraId="5BAE56B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Fonts w:hint="eastAsia" w:ascii="宋体" w:hAnsi="宋体" w:cs="宋体"/>
          <w:highlight w:val="none"/>
        </w:rPr>
        <w:t>物业服务过程需负责</w:t>
      </w:r>
      <w:r>
        <w:rPr>
          <w:rStyle w:val="16"/>
          <w:rFonts w:hint="eastAsia" w:ascii="宋体" w:hAnsi="宋体" w:cs="宋体"/>
          <w:b w:val="0"/>
          <w:highlight w:val="none"/>
        </w:rPr>
        <w:t>兴化府历史文化街区</w:t>
      </w:r>
      <w:r>
        <w:rPr>
          <w:rFonts w:hint="eastAsia" w:ascii="宋体" w:hAnsi="宋体" w:cs="宋体"/>
          <w:highlight w:val="none"/>
        </w:rPr>
        <w:t>范围内24小时值班、巡逻、秩序维持、车辆停放等安全保卫工作。</w:t>
      </w:r>
    </w:p>
    <w:p w14:paraId="2DDEC3D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b/>
          <w:bCs/>
          <w:highlight w:val="none"/>
        </w:rPr>
        <w:t>3、工程维修管理：</w:t>
      </w:r>
      <w:r>
        <w:rPr>
          <w:rFonts w:hint="eastAsia" w:ascii="宋体" w:hAnsi="宋体" w:cs="宋体"/>
          <w:highlight w:val="none"/>
        </w:rPr>
        <w:t>物业共用部位及公用设施部位的维修、养护。</w:t>
      </w:r>
    </w:p>
    <w:p w14:paraId="4E7810E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（1）物业共用设施设备的日常维护保养。</w:t>
      </w:r>
    </w:p>
    <w:p w14:paraId="3F49C875">
      <w:pPr>
        <w:keepNext w:val="0"/>
        <w:keepLines w:val="0"/>
        <w:pageBreakBefore w:val="0"/>
        <w:kinsoku/>
        <w:overflowPunct/>
        <w:topLinePunct w:val="0"/>
        <w:autoSpaceDN/>
        <w:bidi w:val="0"/>
        <w:adjustRightInd/>
        <w:snapToGrid w:val="0"/>
        <w:spacing w:beforeAutospacing="0" w:afterAutospacing="0" w:line="240" w:lineRule="auto"/>
        <w:ind w:right="0" w:rightChars="0" w:firstLine="480" w:firstLineChars="200"/>
        <w:outlineLvl w:val="9"/>
        <w:rPr>
          <w:rFonts w:ascii="宋体" w:hAnsi="宋体" w:cs="宋体"/>
          <w:sz w:val="24"/>
          <w:szCs w:val="24"/>
          <w:highlight w:val="none"/>
        </w:rPr>
      </w:pPr>
      <w:r>
        <w:rPr>
          <w:rFonts w:hint="eastAsia" w:ascii="宋体" w:hAnsi="宋体" w:cs="宋体"/>
          <w:sz w:val="24"/>
          <w:szCs w:val="24"/>
          <w:highlight w:val="none"/>
        </w:rPr>
        <w:t>具体包括：共用的上下水管道、落水管、污水管、雨水管、共用照明、应急灯、避雷装置、水箱</w:t>
      </w:r>
      <w:r>
        <w:rPr>
          <w:rFonts w:hint="eastAsia" w:ascii="宋体" w:hAnsi="宋体"/>
          <w:sz w:val="24"/>
          <w:szCs w:val="24"/>
          <w:highlight w:val="none"/>
        </w:rPr>
        <w:t>、</w:t>
      </w:r>
      <w:r>
        <w:rPr>
          <w:rFonts w:hint="eastAsia" w:ascii="宋体" w:hAnsi="宋体" w:cs="宋体"/>
          <w:sz w:val="24"/>
          <w:szCs w:val="24"/>
          <w:highlight w:val="none"/>
        </w:rPr>
        <w:t>给排水系统、消防设施设备、智能化监控设备、供配电系统等；</w:t>
      </w:r>
    </w:p>
    <w:p w14:paraId="6081976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（2）附属建筑物、构筑物的日常维护和管理。</w:t>
      </w:r>
    </w:p>
    <w:p w14:paraId="0E9A8EE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rFonts w:ascii="宋体" w:hAnsi="宋体" w:cs="宋体"/>
          <w:color w:val="111111"/>
          <w:highlight w:val="none"/>
          <w:shd w:val="clear" w:color="auto" w:fill="FFFFFF"/>
        </w:rPr>
      </w:pPr>
      <w:r>
        <w:rPr>
          <w:rFonts w:hint="eastAsia" w:ascii="宋体" w:hAnsi="宋体" w:cs="宋体"/>
          <w:highlight w:val="none"/>
        </w:rPr>
        <w:t>具体包括：</w:t>
      </w:r>
      <w:r>
        <w:rPr>
          <w:rFonts w:hint="eastAsia" w:ascii="宋体" w:hAnsi="宋体" w:cs="宋体"/>
          <w:color w:val="111111"/>
          <w:highlight w:val="none"/>
          <w:shd w:val="clear" w:color="auto" w:fill="FFFFFF"/>
        </w:rPr>
        <w:t>房屋修缮施工应当使用传统材料，采取传统做法，保持传统形式，修缮后应当达到结构安全、能源清洁、设施基本完善的要求，符合抗震和建筑节能标准；改善类建筑应以修缮为主；经鉴定为严重破损或危险房屋的，可按历史格局和外貌翻建保留类建筑原则上应该保留，需要改建时应恢复传统建筑形式；整饰类建筑应按照保护区传统特征进行整饰或改建。</w:t>
      </w:r>
    </w:p>
    <w:p w14:paraId="24FB388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rFonts w:ascii="宋体" w:hAnsi="宋体" w:cs="宋体"/>
          <w:color w:val="111111"/>
          <w:highlight w:val="none"/>
          <w:shd w:val="clear" w:color="auto" w:fill="FFFFFF"/>
        </w:rPr>
      </w:pPr>
      <w:r>
        <w:rPr>
          <w:rFonts w:hint="eastAsia" w:ascii="宋体" w:hAnsi="宋体" w:cs="宋体"/>
          <w:color w:val="111111"/>
          <w:highlight w:val="none"/>
          <w:shd w:val="clear" w:color="auto" w:fill="FFFFFF"/>
        </w:rPr>
        <w:t>对在传统街巷内部和周围新建、扩建、改建建筑，在高度、体量、材料、色彩等方面提出相应的规划控制措施，以保存原有的空间环境特征。</w:t>
      </w:r>
    </w:p>
    <w:p w14:paraId="4D6B74B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rFonts w:ascii="宋体" w:hAnsi="宋体" w:cs="宋体"/>
          <w:color w:val="111111"/>
          <w:highlight w:val="none"/>
          <w:shd w:val="clear" w:color="auto" w:fill="FFFFFF"/>
        </w:rPr>
      </w:pPr>
      <w:r>
        <w:rPr>
          <w:rFonts w:hint="eastAsia" w:ascii="宋体" w:hAnsi="宋体" w:cs="宋体"/>
          <w:color w:val="111111"/>
          <w:highlight w:val="none"/>
          <w:shd w:val="clear" w:color="auto" w:fill="FFFFFF"/>
        </w:rPr>
        <w:t>文物保护单位和历史建筑应严格保持原有高度、体量、材料和色彩。修缮类建筑本体的外部应采用原有建筑材料和色彩。</w:t>
      </w:r>
    </w:p>
    <w:p w14:paraId="6295BF2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rFonts w:ascii="宋体" w:hAnsi="宋体" w:cs="宋体"/>
          <w:color w:val="111111"/>
          <w:highlight w:val="none"/>
          <w:shd w:val="clear" w:color="auto" w:fill="FFFFFF"/>
        </w:rPr>
      </w:pPr>
      <w:r>
        <w:rPr>
          <w:rFonts w:hint="eastAsia" w:ascii="宋体" w:hAnsi="宋体" w:cs="宋体"/>
          <w:color w:val="111111"/>
          <w:highlight w:val="none"/>
          <w:shd w:val="clear" w:color="auto" w:fill="FFFFFF"/>
        </w:rPr>
        <w:t>新建建筑应分区域提出建筑形式、高度、体量和色彩的控制要求。在保持和优化原街道肌理的原则下，确定体量控制要求；以协调、融合为原则，明确色彩控制要求。</w:t>
      </w:r>
    </w:p>
    <w:p w14:paraId="72548FD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b/>
          <w:bCs/>
          <w:highlight w:val="none"/>
        </w:rPr>
        <w:t>4、停车场管理：</w:t>
      </w:r>
      <w:r>
        <w:rPr>
          <w:rFonts w:hint="eastAsia" w:ascii="宋体" w:hAnsi="宋体" w:cs="宋体"/>
          <w:highlight w:val="none"/>
        </w:rPr>
        <w:t>负责停车场的管理维护，完善停车场设施。制定停车管理方案、停车场地维护养护和日常保洁、停车秩序管理等，保证区域内规范有序。</w:t>
      </w:r>
    </w:p>
    <w:p w14:paraId="6CAD99C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b/>
          <w:bCs/>
          <w:highlight w:val="none"/>
        </w:rPr>
        <w:t>5、环境卫生管理：</w:t>
      </w:r>
      <w:r>
        <w:rPr>
          <w:rFonts w:hint="eastAsia" w:ascii="宋体" w:hAnsi="宋体" w:cs="宋体"/>
          <w:highlight w:val="none"/>
        </w:rPr>
        <w:t>古城区内建筑立面、外墙、屋顶、庭院的日常卫生保洁由实际使用人负责，闲置不使用的由管理部门通知所有人清理，限期未清理的，管理部门有权采取措施入院清理。</w:t>
      </w:r>
    </w:p>
    <w:p w14:paraId="17DDE2D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1）生活垃圾、医疗垃圾、餐厨垃圾均实行上门收集服务，各商户必须将生活垃圾倒往附近的垃圾中转站点，不得摆放在街道两侧。</w:t>
      </w:r>
    </w:p>
    <w:p w14:paraId="3E29F4D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2）建筑垃圾清运实行申报制度，各产生单位要在产生后的当日内向物业申报，保证建筑垃圾的及时处置。</w:t>
      </w:r>
    </w:p>
    <w:p w14:paraId="02BCB1E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街区内禁止以下行为</w:t>
      </w:r>
    </w:p>
    <w:p w14:paraId="73ECCA6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（1）街道两旁堆放废品或其它杂物，卫生不整洁。</w:t>
      </w:r>
    </w:p>
    <w:p w14:paraId="4A49701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（2）各种破损褪色的标识不清理更新的。</w:t>
      </w:r>
    </w:p>
    <w:p w14:paraId="6FF99F5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（3）街道、屋顶、庭院四周长有杂草不清理的。</w:t>
      </w:r>
    </w:p>
    <w:p w14:paraId="742A997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（4）店外放置清扫工具，用砖块抵挡店门。</w:t>
      </w:r>
    </w:p>
    <w:p w14:paraId="080527B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（5）生活垃圾倒入果皮箱，建筑垃圾倒入垃圾桶。</w:t>
      </w:r>
    </w:p>
    <w:p w14:paraId="0938F0E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（6）施工单位违规处置建筑垃圾。</w:t>
      </w:r>
    </w:p>
    <w:p w14:paraId="651C6E4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（7）生活垃圾、医疗垃圾、餐厨垃圾、建筑垃圾混合堆放和倾倒。</w:t>
      </w:r>
    </w:p>
    <w:p w14:paraId="707EB96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b/>
          <w:bCs/>
          <w:highlight w:val="none"/>
        </w:rPr>
        <w:t>6、消防管理：</w:t>
      </w:r>
      <w:r>
        <w:rPr>
          <w:rFonts w:hint="eastAsia" w:ascii="宋体" w:hAnsi="宋体" w:cs="宋体"/>
          <w:highlight w:val="none"/>
        </w:rPr>
        <w:t>古街建筑多为明清两代土木机构，消防管理尤为重要；街区物业必须建立消防责任制，定期进行消防训练，保证有关人员掌握基本消防技能；消防设施设备有明显标志</w:t>
      </w:r>
      <w:r>
        <w:rPr>
          <w:rFonts w:hint="eastAsia" w:ascii="宋体" w:hAnsi="宋体" w:cs="宋体"/>
          <w:highlight w:val="none"/>
          <w:lang w:eastAsia="zh-CN"/>
        </w:rPr>
        <w:t>，</w:t>
      </w:r>
      <w:r>
        <w:rPr>
          <w:rFonts w:hint="eastAsia" w:ascii="宋体" w:hAnsi="宋体" w:cs="宋体"/>
          <w:highlight w:val="none"/>
        </w:rPr>
        <w:t>消防设施设备完好，放置合理，定期巡查、记录，编制消防应急预案及日常管理。配合维保单位做好消防设施设备检修、维保工作。</w:t>
      </w:r>
    </w:p>
    <w:p w14:paraId="30EAF04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消防安全检查要求</w:t>
      </w:r>
    </w:p>
    <w:p w14:paraId="21C43AC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（1）古街内新建、扩建建筑和对既有建筑进行装修改造，应当尽量选用不燃、难燃烧材料。</w:t>
      </w:r>
    </w:p>
    <w:p w14:paraId="1F951E9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（2）古街内既有建筑密集区的防火间距不符合消防技术规范要求的，依照消防技术规范和既有建筑分布状况划分防火分区，区域间应当保留不小于3.5米的防火间距。</w:t>
      </w:r>
    </w:p>
    <w:p w14:paraId="1007C55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（3）经营性场所与非经营性场所设置在同一建筑的，经营性部分与建筑其他部分应当用耐火极限不小于2小时的不燃烧体进行防火分隔。 </w:t>
      </w:r>
    </w:p>
    <w:p w14:paraId="2A2ABFF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4）商户室内装修电气线路不应直接敷设在可燃物上；确需敷设在可燃物上或者在有可燃物的吊顶内敷设的，应当穿金属管、封闭式金属线槽或难燃烧材料的塑料管保护。经营性场所的业主应当定期检查电气线路。开关、插座和照明灯具靠近可燃物的，应当采取隔热、散热等防火保护措施。 </w:t>
      </w:r>
    </w:p>
    <w:p w14:paraId="1991BA4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（5）非住宅建筑内的厨房应当靠外墙设置，厨房动火部位及烟道与建筑内的其他部位应当进行防火分隔，墙体应当采用不燃材料，顶棚和屋面应当采用不燃或难燃烧材料。 </w:t>
      </w:r>
    </w:p>
    <w:p w14:paraId="6236337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（6）用于采暖的明火或高热器具，其周围1米范围内的墙面、地面应当采用不燃材料进行防火隔离保护。</w:t>
      </w:r>
    </w:p>
    <w:p w14:paraId="5EDA643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b/>
          <w:bCs/>
          <w:highlight w:val="none"/>
        </w:rPr>
        <w:t>7、应急管理：</w:t>
      </w:r>
      <w:r>
        <w:rPr>
          <w:rFonts w:hint="eastAsia" w:ascii="宋体" w:hAnsi="宋体" w:cs="宋体"/>
          <w:highlight w:val="none"/>
        </w:rPr>
        <w:t>建立严格规范的应急体系，以便应对突发的传染性疾病、火灾、治安等紧急情况。当发生紧急情况时，中标人必须无条件地配合招标人的相关工作。</w:t>
      </w:r>
    </w:p>
    <w:p w14:paraId="65F4E6B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b/>
          <w:bCs/>
          <w:highlight w:val="none"/>
        </w:rPr>
        <w:t>8、档案、资料管理：</w:t>
      </w:r>
      <w:r>
        <w:rPr>
          <w:rFonts w:hint="eastAsia" w:ascii="宋体" w:hAnsi="宋体" w:cs="宋体"/>
          <w:highlight w:val="none"/>
        </w:rPr>
        <w:t>加强有关物业的档案和资料的管理。</w:t>
      </w:r>
      <w:r>
        <w:rPr>
          <w:rFonts w:hint="eastAsia" w:ascii="宋体" w:hAnsi="宋体" w:cs="宋体"/>
          <w:color w:val="000000"/>
          <w:highlight w:val="none"/>
        </w:rPr>
        <w:t>包括设备设施档案、工程图纸档案及维护维修记录(不包括业主本部档案管理)。</w:t>
      </w:r>
      <w:r>
        <w:rPr>
          <w:rFonts w:hint="eastAsia" w:ascii="宋体" w:hAnsi="宋体" w:cs="宋体"/>
          <w:highlight w:val="none"/>
        </w:rPr>
        <w:t>物业管理必须运用计算机管理，所有档案要求做到保存完整，管理完善，交接手续完备，检索方便准确建立、健全日常保养维护工作的资料档案, 全面记录古建筑本体、保护性设施和周边环境的现状 情况、病害情况等基础信息,作为后续观察、分析比 对、巡视检查和维修保护工作的依据。</w:t>
      </w:r>
    </w:p>
    <w:p w14:paraId="5F7E1D5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rFonts w:ascii="宋体" w:hAnsi="宋体" w:cs="宋体"/>
          <w:highlight w:val="none"/>
        </w:rPr>
      </w:pPr>
      <w:r>
        <w:rPr>
          <w:rFonts w:hint="eastAsia" w:ascii="宋体" w:hAnsi="宋体" w:cs="宋体"/>
          <w:highlight w:val="none"/>
        </w:rPr>
        <w:t>建立统一的信息系统平台，实现了业务数据库、图形数据库、档案数据库相互关联与实时传递。在城区范围内预埋了界止点并已形成网格图，通过测绘成果的移植，能形成古街范围内的平面控制网，逐步利用GIS系统等技术手段，实现一体化管理，并对系统进行定期更新。档案管理逐步实现从纸质存储向数字化存储。</w:t>
      </w:r>
    </w:p>
    <w:p w14:paraId="04C0134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b/>
          <w:bCs/>
          <w:highlight w:val="none"/>
        </w:rPr>
      </w:pPr>
      <w:r>
        <w:rPr>
          <w:rFonts w:hint="eastAsia" w:ascii="宋体" w:hAnsi="宋体" w:cs="宋体"/>
          <w:b/>
          <w:bCs/>
          <w:highlight w:val="none"/>
        </w:rPr>
        <w:t>9.业主赋予的与物业服务有关的其他任务。</w:t>
      </w:r>
    </w:p>
    <w:p w14:paraId="0053499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b/>
          <w:bCs/>
          <w:highlight w:val="none"/>
        </w:rPr>
        <w:t>10.其他属于物业管理范围内的管理服务工作以及业主临时交办的管理服务工作。</w:t>
      </w:r>
    </w:p>
    <w:p w14:paraId="28E7344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Style w:val="16"/>
          <w:rFonts w:hint="eastAsia" w:ascii="宋体" w:hAnsi="宋体" w:cs="宋体"/>
          <w:highlight w:val="none"/>
        </w:rPr>
        <w:t>第二节 物业管理目标及具体要求</w:t>
      </w:r>
    </w:p>
    <w:p w14:paraId="502ED0E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bCs/>
          <w:color w:val="auto"/>
          <w:highlight w:val="none"/>
        </w:rPr>
      </w:pPr>
      <w:r>
        <w:rPr>
          <w:rStyle w:val="16"/>
          <w:rFonts w:hint="eastAsia" w:ascii="宋体" w:hAnsi="宋体" w:cs="宋体"/>
          <w:b w:val="0"/>
          <w:color w:val="auto"/>
          <w:highlight w:val="none"/>
        </w:rPr>
        <w:t>1、各项配备到位：</w:t>
      </w:r>
    </w:p>
    <w:p w14:paraId="0205A3F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bCs/>
          <w:color w:val="auto"/>
          <w:highlight w:val="none"/>
        </w:rPr>
      </w:pPr>
      <w:r>
        <w:rPr>
          <w:rStyle w:val="16"/>
          <w:rFonts w:hint="eastAsia" w:ascii="宋体" w:hAnsi="宋体" w:cs="宋体"/>
          <w:b w:val="0"/>
          <w:color w:val="auto"/>
          <w:highlight w:val="none"/>
        </w:rPr>
        <w:t>（1）机构配备到位：</w:t>
      </w:r>
      <w:r>
        <w:rPr>
          <w:rFonts w:hint="eastAsia" w:ascii="宋体" w:hAnsi="宋体" w:cs="宋体"/>
          <w:bCs/>
          <w:color w:val="auto"/>
          <w:highlight w:val="none"/>
        </w:rPr>
        <w:t>针对物业服务范围与内容设置相应的机构组织，制作系统科学的机构组织架构图。</w:t>
      </w:r>
    </w:p>
    <w:p w14:paraId="5332760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bCs/>
          <w:color w:val="auto"/>
          <w:highlight w:val="none"/>
        </w:rPr>
      </w:pPr>
      <w:r>
        <w:rPr>
          <w:rStyle w:val="16"/>
          <w:rFonts w:hint="eastAsia" w:ascii="宋体" w:hAnsi="宋体" w:cs="宋体"/>
          <w:b w:val="0"/>
          <w:color w:val="auto"/>
          <w:highlight w:val="none"/>
        </w:rPr>
        <w:t>（2）人员配备到位：</w:t>
      </w:r>
      <w:r>
        <w:rPr>
          <w:rFonts w:hint="eastAsia" w:ascii="宋体" w:hAnsi="宋体" w:cs="宋体"/>
          <w:bCs/>
          <w:color w:val="auto"/>
          <w:highlight w:val="none"/>
        </w:rPr>
        <w:t>物业管理企业要建立精简高效的人员编制，各岗位配置说明清楚。管理人员和水、电、消防等专业技术人员必须全面持有岗位资格证书，相关证书须交招标人指定人员确认并经招标人同意后方能上岗工作。员工统一着装，佩戴明显标志。</w:t>
      </w:r>
    </w:p>
    <w:p w14:paraId="4512D58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bCs/>
          <w:color w:val="auto"/>
          <w:highlight w:val="none"/>
        </w:rPr>
      </w:pPr>
      <w:r>
        <w:rPr>
          <w:rFonts w:hint="eastAsia" w:ascii="宋体" w:hAnsi="宋体" w:cs="宋体"/>
          <w:bCs/>
          <w:color w:val="auto"/>
          <w:highlight w:val="none"/>
        </w:rPr>
        <w:t>（3）团队素质优良：中标人的主要负责人和业务人员必须政治面貌清白，无劣迹，无犯罪前科。各类人员应熟悉物业情况和本岗位的责任，服务主动热情，行为规范，严谨敬业，遵守职业道德规范和莆田市物业管理行业规范要求。在确保业主需求满足的前提下，本项目要求在</w:t>
      </w:r>
      <w:r>
        <w:rPr>
          <w:rFonts w:hint="eastAsia" w:cs="宋体"/>
          <w:color w:val="auto"/>
          <w:highlight w:val="none"/>
        </w:rPr>
        <w:t>交付的街区入驻率（任意一条街）＞80%时的</w:t>
      </w:r>
      <w:r>
        <w:rPr>
          <w:rFonts w:hint="eastAsia" w:ascii="宋体" w:hAnsi="宋体" w:cs="宋体"/>
          <w:bCs/>
          <w:color w:val="auto"/>
          <w:highlight w:val="none"/>
        </w:rPr>
        <w:t>配备各专业人员不低于38名（必须有物业管理公司授权委托文件并经业主审核把关）。其中：</w:t>
      </w:r>
    </w:p>
    <w:p w14:paraId="6768AB0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rStyle w:val="16"/>
          <w:rFonts w:ascii="宋体" w:hAnsi="宋体" w:cs="宋体"/>
          <w:b w:val="0"/>
          <w:color w:val="auto"/>
          <w:highlight w:val="none"/>
        </w:rPr>
      </w:pPr>
      <w:r>
        <w:rPr>
          <w:rFonts w:hint="eastAsia" w:ascii="宋体" w:hAnsi="宋体" w:cs="宋体"/>
          <w:bCs/>
          <w:color w:val="auto"/>
          <w:highlight w:val="none"/>
        </w:rPr>
        <w:t>①物业管理处主任1名。</w:t>
      </w:r>
      <w:r>
        <w:rPr>
          <w:rStyle w:val="16"/>
          <w:rFonts w:hint="eastAsia" w:ascii="宋体" w:hAnsi="宋体" w:cs="宋体"/>
          <w:b w:val="0"/>
          <w:color w:val="auto"/>
          <w:highlight w:val="none"/>
        </w:rPr>
        <w:t>受过物业管理专业培训，有2年以上管理经验，具有较高的政治思想素质和服务水平，善于沟通协调，能服从业主管理，必须政治面貌清白，无劣迹，无犯罪前科。</w:t>
      </w:r>
    </w:p>
    <w:p w14:paraId="2C67B581">
      <w:pPr>
        <w:keepNext w:val="0"/>
        <w:keepLines w:val="0"/>
        <w:pageBreakBefore w:val="0"/>
        <w:kinsoku/>
        <w:overflowPunct/>
        <w:topLinePunct w:val="0"/>
        <w:autoSpaceDN/>
        <w:bidi w:val="0"/>
        <w:adjustRightInd/>
        <w:snapToGrid w:val="0"/>
        <w:spacing w:beforeAutospacing="0" w:afterAutospacing="0" w:line="240" w:lineRule="auto"/>
        <w:ind w:right="0" w:rightChars="0" w:firstLine="570"/>
        <w:outlineLvl w:val="9"/>
        <w:rPr>
          <w:rStyle w:val="16"/>
          <w:rFonts w:ascii="宋体" w:hAnsi="宋体" w:cs="宋体"/>
          <w:b w:val="0"/>
          <w:color w:val="auto"/>
          <w:highlight w:val="none"/>
        </w:rPr>
      </w:pPr>
      <w:r>
        <w:rPr>
          <w:rFonts w:hint="eastAsia" w:ascii="宋体" w:hAnsi="宋体"/>
          <w:bCs/>
          <w:color w:val="auto"/>
          <w:sz w:val="24"/>
          <w:szCs w:val="24"/>
          <w:highlight w:val="none"/>
        </w:rPr>
        <w:t>行政管理人员</w:t>
      </w:r>
      <w:r>
        <w:rPr>
          <w:rFonts w:hint="eastAsia" w:ascii="宋体" w:hAnsi="宋体" w:cs="宋体"/>
          <w:bCs/>
          <w:color w:val="auto"/>
          <w:sz w:val="24"/>
          <w:szCs w:val="24"/>
          <w:highlight w:val="none"/>
        </w:rPr>
        <w:t>不低于</w:t>
      </w:r>
      <w:r>
        <w:rPr>
          <w:rFonts w:hint="eastAsia" w:ascii="宋体" w:hAnsi="宋体"/>
          <w:bCs/>
          <w:color w:val="auto"/>
          <w:sz w:val="24"/>
          <w:szCs w:val="24"/>
          <w:highlight w:val="none"/>
        </w:rPr>
        <w:t>3名，要求年龄45周岁以下，受过物业管理专业培训并取得相应证书，具有较高的政治思想素质和服务水平，善于沟通协调，能服从招标人管理，必须政治面貌清白，无劣迹，无犯罪前科。</w:t>
      </w:r>
    </w:p>
    <w:p w14:paraId="0C27E48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570"/>
        <w:outlineLvl w:val="9"/>
        <w:rPr>
          <w:rFonts w:ascii="宋体" w:hAnsi="宋体" w:cs="宋体"/>
          <w:bCs/>
          <w:color w:val="auto"/>
          <w:highlight w:val="none"/>
        </w:rPr>
      </w:pPr>
      <w:r>
        <w:rPr>
          <w:rFonts w:hint="eastAsia" w:ascii="宋体" w:hAnsi="宋体" w:cs="宋体"/>
          <w:bCs/>
          <w:color w:val="auto"/>
          <w:highlight w:val="none"/>
        </w:rPr>
        <w:t>②秩序维护人员不低于21名（保安实行24小时值班制度）。</w:t>
      </w:r>
      <w:r>
        <w:rPr>
          <w:rFonts w:hint="eastAsia" w:ascii="宋体" w:hAnsi="宋体"/>
          <w:bCs/>
          <w:color w:val="auto"/>
          <w:highlight w:val="none"/>
        </w:rPr>
        <w:t>要求</w:t>
      </w:r>
      <w:r>
        <w:rPr>
          <w:rFonts w:hint="eastAsia" w:ascii="宋体" w:hAnsi="宋体" w:cs="宋体"/>
          <w:bCs/>
          <w:color w:val="auto"/>
          <w:highlight w:val="none"/>
        </w:rPr>
        <w:t>年龄50周岁以下，受过专业培训并取得相应证书，且消控室保安必须具备消防中控室监管员证书。上述人员须具有较高的政治思想素质、健康体魄和高度责任心，必须政治面貌清白，无劣迹，无犯罪前科。</w:t>
      </w:r>
    </w:p>
    <w:p w14:paraId="7EE06330">
      <w:pPr>
        <w:keepNext w:val="0"/>
        <w:keepLines w:val="0"/>
        <w:pageBreakBefore w:val="0"/>
        <w:kinsoku/>
        <w:overflowPunct/>
        <w:topLinePunct w:val="0"/>
        <w:autoSpaceDN/>
        <w:bidi w:val="0"/>
        <w:adjustRightInd/>
        <w:snapToGrid w:val="0"/>
        <w:spacing w:beforeAutospacing="0" w:afterAutospacing="0" w:line="240" w:lineRule="auto"/>
        <w:ind w:right="0" w:rightChars="0" w:firstLine="570"/>
        <w:outlineLvl w:val="9"/>
        <w:rPr>
          <w:rFonts w:ascii="楷体" w:hAnsi="楷体" w:cs="楷体"/>
          <w:bCs/>
          <w:color w:val="auto"/>
          <w:sz w:val="24"/>
          <w:szCs w:val="24"/>
          <w:highlight w:val="none"/>
        </w:rPr>
      </w:pPr>
      <w:r>
        <w:rPr>
          <w:rFonts w:hint="eastAsia" w:ascii="宋体" w:hAnsi="宋体" w:cs="宋体"/>
          <w:bCs/>
          <w:color w:val="auto"/>
          <w:sz w:val="24"/>
          <w:szCs w:val="24"/>
          <w:highlight w:val="none"/>
        </w:rPr>
        <w:t>③工程维修、水电工不低于3名。其中设有木工1名，负责对古街日常古建木构检修；电工2名，持有</w:t>
      </w:r>
      <w:r>
        <w:rPr>
          <w:rFonts w:hint="eastAsia" w:ascii="宋体" w:hAnsi="宋体"/>
          <w:bCs/>
          <w:color w:val="auto"/>
          <w:sz w:val="24"/>
          <w:szCs w:val="24"/>
          <w:highlight w:val="none"/>
        </w:rPr>
        <w:t>电工特种作业操作证书，熟悉消防设备、发电机组性能，具有较高的政治思想素质和高度责任心，必须政治面貌清白，无劣迹，无犯罪前科，</w:t>
      </w:r>
      <w:r>
        <w:rPr>
          <w:rFonts w:hint="eastAsia" w:ascii="宋体" w:hAnsi="宋体" w:cs="宋体"/>
          <w:bCs/>
          <w:color w:val="auto"/>
          <w:sz w:val="24"/>
          <w:szCs w:val="24"/>
          <w:highlight w:val="none"/>
        </w:rPr>
        <w:t>负责设施设备日常维修保养工作及水电气消耗计量和节能保障。</w:t>
      </w:r>
    </w:p>
    <w:p w14:paraId="396A505C">
      <w:pPr>
        <w:keepNext w:val="0"/>
        <w:keepLines w:val="0"/>
        <w:pageBreakBefore w:val="0"/>
        <w:kinsoku/>
        <w:overflowPunct/>
        <w:topLinePunct w:val="0"/>
        <w:autoSpaceDN/>
        <w:bidi w:val="0"/>
        <w:adjustRightInd/>
        <w:snapToGrid w:val="0"/>
        <w:spacing w:beforeAutospacing="0" w:afterAutospacing="0" w:line="240" w:lineRule="auto"/>
        <w:ind w:right="0" w:rightChars="0" w:firstLine="357" w:firstLineChars="149"/>
        <w:outlineLvl w:val="9"/>
        <w:rPr>
          <w:rFonts w:ascii="宋体" w:hAnsi="宋体"/>
          <w:bCs/>
          <w:color w:val="auto"/>
          <w:sz w:val="24"/>
          <w:szCs w:val="24"/>
          <w:highlight w:val="none"/>
        </w:rPr>
      </w:pPr>
      <w:r>
        <w:rPr>
          <w:rFonts w:hint="eastAsia" w:ascii="宋体" w:hAnsi="宋体" w:cs="宋体"/>
          <w:bCs/>
          <w:color w:val="auto"/>
          <w:sz w:val="24"/>
          <w:szCs w:val="24"/>
          <w:highlight w:val="none"/>
        </w:rPr>
        <w:t>④保洁员不低于10名。</w:t>
      </w:r>
      <w:r>
        <w:rPr>
          <w:rFonts w:hint="eastAsia" w:ascii="宋体" w:hAnsi="宋体"/>
          <w:bCs/>
          <w:color w:val="auto"/>
          <w:sz w:val="24"/>
          <w:szCs w:val="24"/>
          <w:highlight w:val="none"/>
        </w:rPr>
        <w:t>要求年龄60周岁以下，身体健康、能够吃苦耐劳和高度的责任心，必须政治面貌清白，无劣迹，无犯罪前科。</w:t>
      </w:r>
    </w:p>
    <w:p w14:paraId="6EFA8A0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Style w:val="16"/>
          <w:rFonts w:hint="eastAsia" w:ascii="宋体" w:hAnsi="宋体" w:cs="宋体"/>
          <w:highlight w:val="none"/>
        </w:rPr>
        <w:t>人员配置表</w:t>
      </w:r>
    </w:p>
    <w:p w14:paraId="0A5AB88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65"/>
        <w:outlineLvl w:val="9"/>
        <w:rPr>
          <w:rFonts w:ascii="宋体" w:hAnsi="宋体" w:cs="宋体"/>
          <w:highlight w:val="none"/>
        </w:rPr>
      </w:pPr>
      <w:r>
        <w:rPr>
          <w:rFonts w:hint="eastAsia" w:ascii="宋体" w:hAnsi="宋体" w:cs="宋体"/>
          <w:highlight w:val="none"/>
        </w:rPr>
        <w:t>（1）</w:t>
      </w:r>
      <w:r>
        <w:rPr>
          <w:rFonts w:hint="eastAsia" w:ascii="宋体" w:hAnsi="宋体" w:cs="宋体"/>
          <w:bCs/>
          <w:color w:val="000000"/>
          <w:highlight w:val="none"/>
        </w:rPr>
        <w:t>本项目要求在</w:t>
      </w:r>
      <w:r>
        <w:rPr>
          <w:rFonts w:hint="eastAsia" w:cs="宋体"/>
          <w:highlight w:val="none"/>
        </w:rPr>
        <w:t>交付的街区入驻率＞65%时的</w:t>
      </w:r>
      <w:r>
        <w:rPr>
          <w:rFonts w:hint="eastAsia" w:ascii="宋体" w:hAnsi="宋体" w:cs="宋体"/>
          <w:bCs/>
          <w:color w:val="000000"/>
          <w:highlight w:val="none"/>
        </w:rPr>
        <w:t>配备各专业人</w:t>
      </w:r>
      <w:r>
        <w:rPr>
          <w:rFonts w:hint="eastAsia" w:ascii="宋体" w:hAnsi="宋体" w:cs="宋体"/>
          <w:bCs/>
          <w:highlight w:val="none"/>
        </w:rPr>
        <w:t>员不低于38名</w:t>
      </w:r>
      <w:r>
        <w:rPr>
          <w:rFonts w:hint="eastAsia" w:ascii="宋体" w:hAnsi="宋体" w:cs="宋体"/>
          <w:highlight w:val="none"/>
        </w:rPr>
        <w:t>，</w:t>
      </w:r>
      <w:r>
        <w:rPr>
          <w:rFonts w:hint="eastAsia" w:cs="宋体"/>
          <w:highlight w:val="none"/>
        </w:rPr>
        <w:t>交付的街区入驻率≤65%的各阶段</w:t>
      </w:r>
      <w:r>
        <w:rPr>
          <w:rFonts w:hint="eastAsia" w:ascii="宋体" w:hAnsi="宋体" w:cs="宋体"/>
          <w:highlight w:val="none"/>
        </w:rPr>
        <w:t>人员配备与要求：（以下物业管理人员数量为服务管理人员最低配置标准，各投标人根据本项目需要合理配置，以完成招标人要求的各项工作任务。）</w:t>
      </w:r>
    </w:p>
    <w:p w14:paraId="7E786B0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cs="宋体"/>
          <w:highlight w:val="none"/>
        </w:rPr>
        <w:t>各阶段</w:t>
      </w:r>
      <w:r>
        <w:rPr>
          <w:rFonts w:hint="eastAsia" w:ascii="宋体" w:hAnsi="宋体" w:cs="宋体"/>
          <w:highlight w:val="none"/>
        </w:rPr>
        <w:t>人员配备与要求：</w:t>
      </w:r>
    </w:p>
    <w:tbl>
      <w:tblPr>
        <w:tblStyle w:val="13"/>
        <w:tblW w:w="9697" w:type="dxa"/>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614"/>
        <w:gridCol w:w="1301"/>
        <w:gridCol w:w="1191"/>
        <w:gridCol w:w="970"/>
        <w:gridCol w:w="970"/>
        <w:gridCol w:w="1013"/>
        <w:gridCol w:w="3638"/>
      </w:tblGrid>
      <w:tr w14:paraId="57824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13" w:hRule="atLeast"/>
          <w:tblCellSpacing w:w="15" w:type="dxa"/>
        </w:trPr>
        <w:tc>
          <w:tcPr>
            <w:tcW w:w="569" w:type="dxa"/>
            <w:vMerge w:val="restart"/>
            <w:tcMar>
              <w:top w:w="0" w:type="dxa"/>
              <w:bottom w:w="0" w:type="dxa"/>
            </w:tcMar>
            <w:vAlign w:val="center"/>
          </w:tcPr>
          <w:p w14:paraId="0E12BCA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highlight w:val="none"/>
              </w:rPr>
            </w:pPr>
            <w:r>
              <w:rPr>
                <w:rFonts w:hint="eastAsia" w:ascii="宋体" w:hAnsi="宋体" w:cs="宋体"/>
                <w:highlight w:val="none"/>
              </w:rPr>
              <w:t>序号</w:t>
            </w:r>
          </w:p>
        </w:tc>
        <w:tc>
          <w:tcPr>
            <w:tcW w:w="1271" w:type="dxa"/>
            <w:vMerge w:val="restart"/>
            <w:tcMar>
              <w:top w:w="0" w:type="dxa"/>
              <w:bottom w:w="0" w:type="dxa"/>
            </w:tcMar>
            <w:vAlign w:val="center"/>
          </w:tcPr>
          <w:p w14:paraId="595B406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highlight w:val="none"/>
              </w:rPr>
            </w:pPr>
            <w:r>
              <w:rPr>
                <w:rFonts w:hint="eastAsia" w:ascii="宋体" w:hAnsi="宋体" w:cs="宋体"/>
                <w:highlight w:val="none"/>
              </w:rPr>
              <w:t>部门</w:t>
            </w:r>
          </w:p>
        </w:tc>
        <w:tc>
          <w:tcPr>
            <w:tcW w:w="1161" w:type="dxa"/>
            <w:vMerge w:val="restart"/>
            <w:tcMar>
              <w:top w:w="0" w:type="dxa"/>
              <w:bottom w:w="0" w:type="dxa"/>
            </w:tcMar>
            <w:vAlign w:val="center"/>
          </w:tcPr>
          <w:p w14:paraId="26C9C75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highlight w:val="none"/>
              </w:rPr>
            </w:pPr>
            <w:r>
              <w:rPr>
                <w:rFonts w:hint="eastAsia" w:ascii="宋体" w:hAnsi="宋体" w:cs="宋体"/>
                <w:highlight w:val="none"/>
              </w:rPr>
              <w:t>岗位名称</w:t>
            </w:r>
          </w:p>
        </w:tc>
        <w:tc>
          <w:tcPr>
            <w:tcW w:w="6546" w:type="dxa"/>
            <w:gridSpan w:val="4"/>
            <w:tcMar>
              <w:top w:w="0" w:type="dxa"/>
              <w:bottom w:w="0" w:type="dxa"/>
            </w:tcMar>
            <w:vAlign w:val="center"/>
          </w:tcPr>
          <w:p w14:paraId="611E9C6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highlight w:val="none"/>
              </w:rPr>
            </w:pPr>
            <w:r>
              <w:rPr>
                <w:rFonts w:hint="eastAsia" w:ascii="宋体" w:hAnsi="宋体" w:cs="宋体"/>
                <w:highlight w:val="none"/>
              </w:rPr>
              <w:t>工作职责</w:t>
            </w:r>
          </w:p>
        </w:tc>
      </w:tr>
      <w:tr w14:paraId="08E25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82" w:hRule="atLeast"/>
          <w:tblCellSpacing w:w="15" w:type="dxa"/>
        </w:trPr>
        <w:tc>
          <w:tcPr>
            <w:tcW w:w="569" w:type="dxa"/>
            <w:vMerge w:val="continue"/>
            <w:tcMar>
              <w:top w:w="0" w:type="dxa"/>
              <w:bottom w:w="0" w:type="dxa"/>
            </w:tcMar>
            <w:vAlign w:val="center"/>
          </w:tcPr>
          <w:p w14:paraId="2D32D44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highlight w:val="none"/>
              </w:rPr>
            </w:pPr>
          </w:p>
        </w:tc>
        <w:tc>
          <w:tcPr>
            <w:tcW w:w="1271" w:type="dxa"/>
            <w:vMerge w:val="continue"/>
            <w:tcMar>
              <w:top w:w="0" w:type="dxa"/>
              <w:bottom w:w="0" w:type="dxa"/>
            </w:tcMar>
            <w:vAlign w:val="center"/>
          </w:tcPr>
          <w:p w14:paraId="4729C7E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highlight w:val="none"/>
              </w:rPr>
            </w:pPr>
          </w:p>
        </w:tc>
        <w:tc>
          <w:tcPr>
            <w:tcW w:w="1161" w:type="dxa"/>
            <w:vMerge w:val="continue"/>
            <w:tcMar>
              <w:top w:w="0" w:type="dxa"/>
              <w:bottom w:w="0" w:type="dxa"/>
            </w:tcMar>
            <w:vAlign w:val="center"/>
          </w:tcPr>
          <w:p w14:paraId="2E782A1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highlight w:val="none"/>
              </w:rPr>
            </w:pPr>
          </w:p>
        </w:tc>
        <w:tc>
          <w:tcPr>
            <w:tcW w:w="940" w:type="dxa"/>
            <w:tcMar>
              <w:top w:w="0" w:type="dxa"/>
              <w:bottom w:w="0" w:type="dxa"/>
            </w:tcMar>
            <w:vAlign w:val="center"/>
          </w:tcPr>
          <w:p w14:paraId="310D9A0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highlight w:val="none"/>
              </w:rPr>
            </w:pPr>
            <w:r>
              <w:rPr>
                <w:rFonts w:hint="eastAsia" w:cs="宋体"/>
                <w:highlight w:val="none"/>
              </w:rPr>
              <w:t>≤30%</w:t>
            </w:r>
          </w:p>
        </w:tc>
        <w:tc>
          <w:tcPr>
            <w:tcW w:w="940" w:type="dxa"/>
            <w:tcMar>
              <w:top w:w="0" w:type="dxa"/>
              <w:bottom w:w="0" w:type="dxa"/>
            </w:tcMar>
            <w:vAlign w:val="center"/>
          </w:tcPr>
          <w:p w14:paraId="4FC9E4A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highlight w:val="none"/>
              </w:rPr>
            </w:pPr>
            <w:r>
              <w:rPr>
                <w:rFonts w:hint="eastAsia" w:cs="宋体"/>
                <w:highlight w:val="none"/>
              </w:rPr>
              <w:t>＞30%至≤65%</w:t>
            </w:r>
          </w:p>
        </w:tc>
        <w:tc>
          <w:tcPr>
            <w:tcW w:w="983" w:type="dxa"/>
            <w:tcMar>
              <w:top w:w="0" w:type="dxa"/>
              <w:bottom w:w="0" w:type="dxa"/>
            </w:tcMar>
            <w:vAlign w:val="center"/>
          </w:tcPr>
          <w:p w14:paraId="27C674E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highlight w:val="none"/>
              </w:rPr>
            </w:pPr>
            <w:r>
              <w:rPr>
                <w:rFonts w:hint="eastAsia" w:cs="宋体"/>
                <w:highlight w:val="none"/>
              </w:rPr>
              <w:t>＞65%</w:t>
            </w:r>
          </w:p>
        </w:tc>
        <w:tc>
          <w:tcPr>
            <w:tcW w:w="3593" w:type="dxa"/>
            <w:tcMar>
              <w:top w:w="0" w:type="dxa"/>
              <w:bottom w:w="0" w:type="dxa"/>
            </w:tcMar>
            <w:vAlign w:val="center"/>
          </w:tcPr>
          <w:p w14:paraId="420D9A4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highlight w:val="none"/>
              </w:rPr>
            </w:pPr>
          </w:p>
        </w:tc>
      </w:tr>
      <w:tr w14:paraId="4B352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68" w:hRule="atLeast"/>
          <w:tblCellSpacing w:w="15" w:type="dxa"/>
        </w:trPr>
        <w:tc>
          <w:tcPr>
            <w:tcW w:w="569" w:type="dxa"/>
            <w:tcMar>
              <w:top w:w="0" w:type="dxa"/>
              <w:bottom w:w="0" w:type="dxa"/>
            </w:tcMar>
            <w:vAlign w:val="center"/>
          </w:tcPr>
          <w:p w14:paraId="7BA2340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1</w:t>
            </w:r>
          </w:p>
        </w:tc>
        <w:tc>
          <w:tcPr>
            <w:tcW w:w="1271" w:type="dxa"/>
            <w:tcMar>
              <w:top w:w="0" w:type="dxa"/>
              <w:bottom w:w="0" w:type="dxa"/>
            </w:tcMar>
            <w:vAlign w:val="center"/>
          </w:tcPr>
          <w:p w14:paraId="5D5F66B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综合管理</w:t>
            </w:r>
          </w:p>
        </w:tc>
        <w:tc>
          <w:tcPr>
            <w:tcW w:w="1161" w:type="dxa"/>
            <w:tcMar>
              <w:top w:w="0" w:type="dxa"/>
              <w:bottom w:w="0" w:type="dxa"/>
            </w:tcMar>
            <w:vAlign w:val="center"/>
          </w:tcPr>
          <w:p w14:paraId="22939DA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项目主任</w:t>
            </w:r>
          </w:p>
        </w:tc>
        <w:tc>
          <w:tcPr>
            <w:tcW w:w="940" w:type="dxa"/>
            <w:tcMar>
              <w:top w:w="0" w:type="dxa"/>
              <w:bottom w:w="0" w:type="dxa"/>
            </w:tcMar>
            <w:vAlign w:val="center"/>
          </w:tcPr>
          <w:p w14:paraId="4E4A39A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1</w:t>
            </w:r>
          </w:p>
        </w:tc>
        <w:tc>
          <w:tcPr>
            <w:tcW w:w="940" w:type="dxa"/>
            <w:tcMar>
              <w:top w:w="0" w:type="dxa"/>
              <w:bottom w:w="0" w:type="dxa"/>
            </w:tcMar>
            <w:vAlign w:val="center"/>
          </w:tcPr>
          <w:p w14:paraId="5C3BDCD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1</w:t>
            </w:r>
          </w:p>
        </w:tc>
        <w:tc>
          <w:tcPr>
            <w:tcW w:w="983" w:type="dxa"/>
            <w:tcMar>
              <w:top w:w="0" w:type="dxa"/>
              <w:bottom w:w="0" w:type="dxa"/>
            </w:tcMar>
            <w:vAlign w:val="center"/>
          </w:tcPr>
          <w:p w14:paraId="463A172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1</w:t>
            </w:r>
          </w:p>
        </w:tc>
        <w:tc>
          <w:tcPr>
            <w:tcW w:w="3593" w:type="dxa"/>
            <w:tcMar>
              <w:top w:w="0" w:type="dxa"/>
              <w:bottom w:w="0" w:type="dxa"/>
            </w:tcMar>
            <w:vAlign w:val="center"/>
          </w:tcPr>
          <w:p w14:paraId="4AA437F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ascii="宋体" w:hAnsi="宋体" w:cs="宋体"/>
                <w:color w:val="404040"/>
                <w:kern w:val="2"/>
                <w:highlight w:val="none"/>
              </w:rPr>
            </w:pPr>
            <w:r>
              <w:rPr>
                <w:rFonts w:hint="eastAsia" w:ascii="宋体" w:hAnsi="宋体" w:cs="宋体"/>
                <w:color w:val="404040"/>
                <w:kern w:val="2"/>
                <w:highlight w:val="none"/>
              </w:rPr>
              <w:t>全面负责古街管理工作及对外协调工作</w:t>
            </w:r>
          </w:p>
        </w:tc>
      </w:tr>
      <w:tr w14:paraId="2AE89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68" w:hRule="atLeast"/>
          <w:tblCellSpacing w:w="15" w:type="dxa"/>
        </w:trPr>
        <w:tc>
          <w:tcPr>
            <w:tcW w:w="569" w:type="dxa"/>
            <w:tcMar>
              <w:top w:w="0" w:type="dxa"/>
              <w:bottom w:w="0" w:type="dxa"/>
            </w:tcMar>
            <w:vAlign w:val="center"/>
          </w:tcPr>
          <w:p w14:paraId="161BD6D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2</w:t>
            </w:r>
          </w:p>
        </w:tc>
        <w:tc>
          <w:tcPr>
            <w:tcW w:w="1271" w:type="dxa"/>
            <w:tcMar>
              <w:top w:w="0" w:type="dxa"/>
              <w:bottom w:w="0" w:type="dxa"/>
            </w:tcMar>
            <w:vAlign w:val="center"/>
          </w:tcPr>
          <w:p w14:paraId="6A6709E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行政综合部</w:t>
            </w:r>
          </w:p>
        </w:tc>
        <w:tc>
          <w:tcPr>
            <w:tcW w:w="1161" w:type="dxa"/>
            <w:tcMar>
              <w:top w:w="0" w:type="dxa"/>
              <w:bottom w:w="0" w:type="dxa"/>
            </w:tcMar>
            <w:vAlign w:val="center"/>
          </w:tcPr>
          <w:p w14:paraId="6580767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行政、客服</w:t>
            </w:r>
          </w:p>
        </w:tc>
        <w:tc>
          <w:tcPr>
            <w:tcW w:w="940" w:type="dxa"/>
            <w:tcMar>
              <w:top w:w="0" w:type="dxa"/>
              <w:bottom w:w="0" w:type="dxa"/>
            </w:tcMar>
            <w:vAlign w:val="center"/>
          </w:tcPr>
          <w:p w14:paraId="22DF00C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2</w:t>
            </w:r>
          </w:p>
        </w:tc>
        <w:tc>
          <w:tcPr>
            <w:tcW w:w="940" w:type="dxa"/>
            <w:tcMar>
              <w:top w:w="0" w:type="dxa"/>
              <w:bottom w:w="0" w:type="dxa"/>
            </w:tcMar>
            <w:vAlign w:val="center"/>
          </w:tcPr>
          <w:p w14:paraId="1C104B7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3</w:t>
            </w:r>
          </w:p>
        </w:tc>
        <w:tc>
          <w:tcPr>
            <w:tcW w:w="983" w:type="dxa"/>
            <w:tcMar>
              <w:top w:w="0" w:type="dxa"/>
              <w:bottom w:w="0" w:type="dxa"/>
            </w:tcMar>
            <w:vAlign w:val="center"/>
          </w:tcPr>
          <w:p w14:paraId="034A153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3</w:t>
            </w:r>
          </w:p>
        </w:tc>
        <w:tc>
          <w:tcPr>
            <w:tcW w:w="3593" w:type="dxa"/>
            <w:tcMar>
              <w:top w:w="0" w:type="dxa"/>
              <w:bottom w:w="0" w:type="dxa"/>
            </w:tcMar>
            <w:vAlign w:val="center"/>
          </w:tcPr>
          <w:p w14:paraId="3FCBF4D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ascii="宋体" w:hAnsi="宋体" w:cs="宋体"/>
                <w:color w:val="404040"/>
                <w:kern w:val="2"/>
                <w:highlight w:val="none"/>
              </w:rPr>
            </w:pPr>
            <w:r>
              <w:rPr>
                <w:rFonts w:hint="eastAsia" w:ascii="宋体" w:hAnsi="宋体" w:cs="宋体"/>
                <w:color w:val="404040"/>
                <w:kern w:val="2"/>
                <w:highlight w:val="none"/>
              </w:rPr>
              <w:t>负责古街部分信息处理、客户接待服务、咨询及档案管理</w:t>
            </w:r>
          </w:p>
        </w:tc>
      </w:tr>
      <w:tr w14:paraId="7A137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294" w:hRule="atLeast"/>
          <w:tblCellSpacing w:w="15" w:type="dxa"/>
        </w:trPr>
        <w:tc>
          <w:tcPr>
            <w:tcW w:w="569" w:type="dxa"/>
            <w:tcMar>
              <w:top w:w="0" w:type="dxa"/>
              <w:bottom w:w="0" w:type="dxa"/>
            </w:tcMar>
            <w:vAlign w:val="center"/>
          </w:tcPr>
          <w:p w14:paraId="6D99E71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3</w:t>
            </w:r>
          </w:p>
        </w:tc>
        <w:tc>
          <w:tcPr>
            <w:tcW w:w="1271" w:type="dxa"/>
            <w:tcMar>
              <w:top w:w="0" w:type="dxa"/>
              <w:bottom w:w="0" w:type="dxa"/>
            </w:tcMar>
            <w:vAlign w:val="center"/>
          </w:tcPr>
          <w:p w14:paraId="23921BC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秩序维护部</w:t>
            </w:r>
          </w:p>
        </w:tc>
        <w:tc>
          <w:tcPr>
            <w:tcW w:w="1161" w:type="dxa"/>
            <w:tcMar>
              <w:top w:w="0" w:type="dxa"/>
              <w:bottom w:w="0" w:type="dxa"/>
            </w:tcMar>
            <w:vAlign w:val="center"/>
          </w:tcPr>
          <w:p w14:paraId="57B22F8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p>
          <w:p w14:paraId="552ED95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保安员</w:t>
            </w:r>
          </w:p>
          <w:p w14:paraId="0222005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both"/>
              <w:outlineLvl w:val="9"/>
              <w:rPr>
                <w:rFonts w:ascii="宋体" w:hAnsi="宋体" w:cs="宋体"/>
                <w:color w:val="404040"/>
                <w:kern w:val="2"/>
                <w:highlight w:val="none"/>
              </w:rPr>
            </w:pPr>
          </w:p>
        </w:tc>
        <w:tc>
          <w:tcPr>
            <w:tcW w:w="940" w:type="dxa"/>
            <w:tcMar>
              <w:top w:w="0" w:type="dxa"/>
              <w:bottom w:w="0" w:type="dxa"/>
            </w:tcMar>
            <w:vAlign w:val="center"/>
          </w:tcPr>
          <w:p w14:paraId="608FA08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9</w:t>
            </w:r>
          </w:p>
        </w:tc>
        <w:tc>
          <w:tcPr>
            <w:tcW w:w="940" w:type="dxa"/>
            <w:tcMar>
              <w:top w:w="0" w:type="dxa"/>
              <w:bottom w:w="0" w:type="dxa"/>
            </w:tcMar>
            <w:vAlign w:val="center"/>
          </w:tcPr>
          <w:p w14:paraId="52D1B09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15</w:t>
            </w:r>
          </w:p>
        </w:tc>
        <w:tc>
          <w:tcPr>
            <w:tcW w:w="983" w:type="dxa"/>
            <w:tcMar>
              <w:top w:w="0" w:type="dxa"/>
              <w:bottom w:w="0" w:type="dxa"/>
            </w:tcMar>
            <w:vAlign w:val="center"/>
          </w:tcPr>
          <w:p w14:paraId="595D942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21</w:t>
            </w:r>
          </w:p>
        </w:tc>
        <w:tc>
          <w:tcPr>
            <w:tcW w:w="3593" w:type="dxa"/>
            <w:tcMar>
              <w:top w:w="0" w:type="dxa"/>
              <w:bottom w:w="0" w:type="dxa"/>
            </w:tcMar>
            <w:vAlign w:val="center"/>
          </w:tcPr>
          <w:p w14:paraId="46292BD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ascii="宋体" w:hAnsi="宋体" w:cs="宋体"/>
                <w:color w:val="404040"/>
                <w:kern w:val="2"/>
                <w:highlight w:val="none"/>
              </w:rPr>
            </w:pPr>
            <w:r>
              <w:rPr>
                <w:rFonts w:hint="eastAsia" w:ascii="宋体" w:hAnsi="宋体" w:cs="宋体"/>
                <w:color w:val="404040"/>
                <w:kern w:val="2"/>
                <w:highlight w:val="none"/>
              </w:rPr>
              <w:t>其中设立1名保安队长，负责对整个服务区域的安管工作进行计划管理，保安员负责巡查各出入口引导、监控及消防系统的使用等</w:t>
            </w:r>
          </w:p>
        </w:tc>
      </w:tr>
      <w:tr w14:paraId="2C887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68" w:hRule="atLeast"/>
          <w:tblCellSpacing w:w="15" w:type="dxa"/>
        </w:trPr>
        <w:tc>
          <w:tcPr>
            <w:tcW w:w="569" w:type="dxa"/>
            <w:tcMar>
              <w:top w:w="0" w:type="dxa"/>
              <w:bottom w:w="0" w:type="dxa"/>
            </w:tcMar>
            <w:vAlign w:val="center"/>
          </w:tcPr>
          <w:p w14:paraId="72C11FD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4</w:t>
            </w:r>
          </w:p>
        </w:tc>
        <w:tc>
          <w:tcPr>
            <w:tcW w:w="1271" w:type="dxa"/>
            <w:tcMar>
              <w:top w:w="0" w:type="dxa"/>
              <w:bottom w:w="0" w:type="dxa"/>
            </w:tcMar>
            <w:vAlign w:val="center"/>
          </w:tcPr>
          <w:p w14:paraId="1643556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保洁部</w:t>
            </w:r>
          </w:p>
        </w:tc>
        <w:tc>
          <w:tcPr>
            <w:tcW w:w="1161" w:type="dxa"/>
            <w:tcMar>
              <w:top w:w="0" w:type="dxa"/>
              <w:bottom w:w="0" w:type="dxa"/>
            </w:tcMar>
            <w:vAlign w:val="center"/>
          </w:tcPr>
          <w:p w14:paraId="30FAA95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保洁员</w:t>
            </w:r>
          </w:p>
        </w:tc>
        <w:tc>
          <w:tcPr>
            <w:tcW w:w="940" w:type="dxa"/>
            <w:tcMar>
              <w:top w:w="0" w:type="dxa"/>
              <w:bottom w:w="0" w:type="dxa"/>
            </w:tcMar>
            <w:vAlign w:val="center"/>
          </w:tcPr>
          <w:p w14:paraId="1BED5AB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5</w:t>
            </w:r>
          </w:p>
        </w:tc>
        <w:tc>
          <w:tcPr>
            <w:tcW w:w="940" w:type="dxa"/>
            <w:tcMar>
              <w:top w:w="0" w:type="dxa"/>
              <w:bottom w:w="0" w:type="dxa"/>
            </w:tcMar>
            <w:vAlign w:val="center"/>
          </w:tcPr>
          <w:p w14:paraId="6F2A0AA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8</w:t>
            </w:r>
          </w:p>
        </w:tc>
        <w:tc>
          <w:tcPr>
            <w:tcW w:w="983" w:type="dxa"/>
            <w:tcMar>
              <w:top w:w="0" w:type="dxa"/>
              <w:bottom w:w="0" w:type="dxa"/>
            </w:tcMar>
            <w:vAlign w:val="center"/>
          </w:tcPr>
          <w:p w14:paraId="20D0D8A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10</w:t>
            </w:r>
          </w:p>
        </w:tc>
        <w:tc>
          <w:tcPr>
            <w:tcW w:w="3593" w:type="dxa"/>
            <w:tcMar>
              <w:top w:w="0" w:type="dxa"/>
              <w:bottom w:w="0" w:type="dxa"/>
            </w:tcMar>
            <w:vAlign w:val="center"/>
          </w:tcPr>
          <w:p w14:paraId="7B074E20">
            <w:pPr>
              <w:keepNext w:val="0"/>
              <w:keepLines w:val="0"/>
              <w:pageBreakBefore w:val="0"/>
              <w:widowControl/>
              <w:kinsoku/>
              <w:overflowPunct/>
              <w:topLinePunct w:val="0"/>
              <w:autoSpaceDN/>
              <w:bidi w:val="0"/>
              <w:adjustRightInd/>
              <w:snapToGrid w:val="0"/>
              <w:spacing w:beforeAutospacing="0" w:afterAutospacing="0" w:line="240" w:lineRule="auto"/>
              <w:ind w:right="0" w:rightChars="0"/>
              <w:jc w:val="left"/>
              <w:outlineLvl w:val="9"/>
              <w:rPr>
                <w:rFonts w:ascii="宋体" w:hAnsi="宋体" w:cs="宋体"/>
                <w:color w:val="404040"/>
                <w:sz w:val="24"/>
                <w:szCs w:val="24"/>
                <w:highlight w:val="none"/>
              </w:rPr>
            </w:pPr>
            <w:r>
              <w:rPr>
                <w:rFonts w:hint="eastAsia" w:ascii="宋体" w:hAnsi="宋体" w:cs="宋体"/>
                <w:color w:val="404040"/>
                <w:sz w:val="24"/>
                <w:szCs w:val="24"/>
                <w:highlight w:val="none"/>
              </w:rPr>
              <w:t>负责古街日常街道清扫，公厕清洗消毒等</w:t>
            </w:r>
          </w:p>
        </w:tc>
      </w:tr>
      <w:tr w14:paraId="2132C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82" w:hRule="atLeast"/>
          <w:tblCellSpacing w:w="15" w:type="dxa"/>
        </w:trPr>
        <w:tc>
          <w:tcPr>
            <w:tcW w:w="569" w:type="dxa"/>
            <w:vMerge w:val="restart"/>
            <w:tcMar>
              <w:top w:w="0" w:type="dxa"/>
              <w:bottom w:w="0" w:type="dxa"/>
            </w:tcMar>
            <w:vAlign w:val="center"/>
          </w:tcPr>
          <w:p w14:paraId="1C8C08F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5</w:t>
            </w:r>
          </w:p>
        </w:tc>
        <w:tc>
          <w:tcPr>
            <w:tcW w:w="1271" w:type="dxa"/>
            <w:vMerge w:val="restart"/>
            <w:tcMar>
              <w:top w:w="0" w:type="dxa"/>
              <w:bottom w:w="0" w:type="dxa"/>
            </w:tcMar>
            <w:vAlign w:val="center"/>
          </w:tcPr>
          <w:p w14:paraId="0267957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工程维修</w:t>
            </w:r>
          </w:p>
        </w:tc>
        <w:tc>
          <w:tcPr>
            <w:tcW w:w="1161" w:type="dxa"/>
            <w:tcMar>
              <w:top w:w="0" w:type="dxa"/>
              <w:bottom w:w="0" w:type="dxa"/>
            </w:tcMar>
            <w:vAlign w:val="center"/>
          </w:tcPr>
          <w:p w14:paraId="6C088E9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水电维修</w:t>
            </w:r>
          </w:p>
        </w:tc>
        <w:tc>
          <w:tcPr>
            <w:tcW w:w="940" w:type="dxa"/>
            <w:tcMar>
              <w:top w:w="0" w:type="dxa"/>
              <w:bottom w:w="0" w:type="dxa"/>
            </w:tcMar>
            <w:vAlign w:val="center"/>
          </w:tcPr>
          <w:p w14:paraId="392A860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1</w:t>
            </w:r>
          </w:p>
        </w:tc>
        <w:tc>
          <w:tcPr>
            <w:tcW w:w="940" w:type="dxa"/>
            <w:tcMar>
              <w:top w:w="0" w:type="dxa"/>
              <w:bottom w:w="0" w:type="dxa"/>
            </w:tcMar>
            <w:vAlign w:val="center"/>
          </w:tcPr>
          <w:p w14:paraId="2BACDB0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2</w:t>
            </w:r>
          </w:p>
        </w:tc>
        <w:tc>
          <w:tcPr>
            <w:tcW w:w="983" w:type="dxa"/>
            <w:tcMar>
              <w:top w:w="0" w:type="dxa"/>
              <w:bottom w:w="0" w:type="dxa"/>
            </w:tcMar>
            <w:vAlign w:val="center"/>
          </w:tcPr>
          <w:p w14:paraId="692F89D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2</w:t>
            </w:r>
          </w:p>
        </w:tc>
        <w:tc>
          <w:tcPr>
            <w:tcW w:w="3593" w:type="dxa"/>
            <w:tcMar>
              <w:top w:w="0" w:type="dxa"/>
              <w:bottom w:w="0" w:type="dxa"/>
            </w:tcMar>
            <w:vAlign w:val="center"/>
          </w:tcPr>
          <w:p w14:paraId="6BB3332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ascii="宋体" w:hAnsi="宋体" w:cs="宋体"/>
                <w:color w:val="404040"/>
                <w:kern w:val="2"/>
                <w:highlight w:val="none"/>
              </w:rPr>
            </w:pPr>
            <w:r>
              <w:rPr>
                <w:rFonts w:hint="eastAsia" w:ascii="宋体" w:hAnsi="宋体" w:cs="宋体"/>
                <w:color w:val="404040"/>
                <w:kern w:val="2"/>
                <w:highlight w:val="none"/>
              </w:rPr>
              <w:t>负责设施设备日常维修保养工作及水电气消耗计量和节能保障</w:t>
            </w:r>
          </w:p>
        </w:tc>
      </w:tr>
      <w:tr w14:paraId="1921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82" w:hRule="atLeast"/>
          <w:tblCellSpacing w:w="15" w:type="dxa"/>
        </w:trPr>
        <w:tc>
          <w:tcPr>
            <w:tcW w:w="569" w:type="dxa"/>
            <w:vMerge w:val="continue"/>
            <w:tcMar>
              <w:top w:w="0" w:type="dxa"/>
              <w:bottom w:w="0" w:type="dxa"/>
            </w:tcMar>
            <w:vAlign w:val="center"/>
          </w:tcPr>
          <w:p w14:paraId="7748E9D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p>
        </w:tc>
        <w:tc>
          <w:tcPr>
            <w:tcW w:w="1271" w:type="dxa"/>
            <w:vMerge w:val="continue"/>
            <w:tcMar>
              <w:top w:w="0" w:type="dxa"/>
              <w:bottom w:w="0" w:type="dxa"/>
            </w:tcMar>
            <w:vAlign w:val="center"/>
          </w:tcPr>
          <w:p w14:paraId="123B64B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p>
        </w:tc>
        <w:tc>
          <w:tcPr>
            <w:tcW w:w="1161" w:type="dxa"/>
            <w:tcMar>
              <w:top w:w="0" w:type="dxa"/>
              <w:bottom w:w="0" w:type="dxa"/>
            </w:tcMar>
            <w:vAlign w:val="center"/>
          </w:tcPr>
          <w:p w14:paraId="07C856A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木工</w:t>
            </w:r>
          </w:p>
        </w:tc>
        <w:tc>
          <w:tcPr>
            <w:tcW w:w="940" w:type="dxa"/>
            <w:tcMar>
              <w:top w:w="0" w:type="dxa"/>
              <w:bottom w:w="0" w:type="dxa"/>
            </w:tcMar>
            <w:vAlign w:val="center"/>
          </w:tcPr>
          <w:p w14:paraId="2016886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1</w:t>
            </w:r>
          </w:p>
        </w:tc>
        <w:tc>
          <w:tcPr>
            <w:tcW w:w="940" w:type="dxa"/>
            <w:tcMar>
              <w:top w:w="0" w:type="dxa"/>
              <w:bottom w:w="0" w:type="dxa"/>
            </w:tcMar>
            <w:vAlign w:val="center"/>
          </w:tcPr>
          <w:p w14:paraId="5924628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1</w:t>
            </w:r>
          </w:p>
        </w:tc>
        <w:tc>
          <w:tcPr>
            <w:tcW w:w="983" w:type="dxa"/>
            <w:tcMar>
              <w:top w:w="0" w:type="dxa"/>
              <w:bottom w:w="0" w:type="dxa"/>
            </w:tcMar>
            <w:vAlign w:val="center"/>
          </w:tcPr>
          <w:p w14:paraId="4D3206D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r>
              <w:rPr>
                <w:rFonts w:hint="eastAsia" w:ascii="宋体" w:hAnsi="宋体" w:cs="宋体"/>
                <w:color w:val="404040"/>
                <w:kern w:val="2"/>
                <w:highlight w:val="none"/>
              </w:rPr>
              <w:t>1</w:t>
            </w:r>
          </w:p>
        </w:tc>
        <w:tc>
          <w:tcPr>
            <w:tcW w:w="3593" w:type="dxa"/>
            <w:tcMar>
              <w:top w:w="0" w:type="dxa"/>
              <w:bottom w:w="0" w:type="dxa"/>
            </w:tcMar>
            <w:vAlign w:val="center"/>
          </w:tcPr>
          <w:p w14:paraId="3EC9CA4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textAlignment w:val="center"/>
              <w:outlineLvl w:val="9"/>
              <w:rPr>
                <w:rFonts w:ascii="宋体" w:hAnsi="宋体" w:cs="宋体"/>
                <w:color w:val="404040"/>
                <w:kern w:val="2"/>
                <w:highlight w:val="none"/>
              </w:rPr>
            </w:pPr>
            <w:r>
              <w:rPr>
                <w:rFonts w:hint="eastAsia" w:ascii="宋体" w:hAnsi="宋体" w:cs="宋体"/>
                <w:color w:val="404040"/>
                <w:kern w:val="2"/>
                <w:highlight w:val="none"/>
              </w:rPr>
              <w:t>负责对古街日常古建木构检修</w:t>
            </w:r>
          </w:p>
        </w:tc>
      </w:tr>
      <w:tr w14:paraId="242BF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513" w:hRule="atLeast"/>
          <w:tblCellSpacing w:w="15" w:type="dxa"/>
        </w:trPr>
        <w:tc>
          <w:tcPr>
            <w:tcW w:w="569" w:type="dxa"/>
            <w:tcMar>
              <w:top w:w="0" w:type="dxa"/>
              <w:bottom w:w="0" w:type="dxa"/>
            </w:tcMar>
            <w:vAlign w:val="center"/>
          </w:tcPr>
          <w:p w14:paraId="45AFCB4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p>
        </w:tc>
        <w:tc>
          <w:tcPr>
            <w:tcW w:w="2462" w:type="dxa"/>
            <w:gridSpan w:val="2"/>
            <w:tcMar>
              <w:top w:w="0" w:type="dxa"/>
              <w:bottom w:w="0" w:type="dxa"/>
            </w:tcMar>
            <w:vAlign w:val="center"/>
          </w:tcPr>
          <w:p w14:paraId="787648D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合计</w:t>
            </w:r>
          </w:p>
        </w:tc>
        <w:tc>
          <w:tcPr>
            <w:tcW w:w="940" w:type="dxa"/>
            <w:tcMar>
              <w:top w:w="0" w:type="dxa"/>
              <w:bottom w:w="0" w:type="dxa"/>
            </w:tcMar>
            <w:vAlign w:val="center"/>
          </w:tcPr>
          <w:p w14:paraId="7829940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19</w:t>
            </w:r>
          </w:p>
        </w:tc>
        <w:tc>
          <w:tcPr>
            <w:tcW w:w="940" w:type="dxa"/>
            <w:tcMar>
              <w:top w:w="0" w:type="dxa"/>
              <w:bottom w:w="0" w:type="dxa"/>
            </w:tcMar>
            <w:vAlign w:val="center"/>
          </w:tcPr>
          <w:p w14:paraId="389CE93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30</w:t>
            </w:r>
          </w:p>
        </w:tc>
        <w:tc>
          <w:tcPr>
            <w:tcW w:w="983" w:type="dxa"/>
            <w:tcMar>
              <w:top w:w="0" w:type="dxa"/>
              <w:bottom w:w="0" w:type="dxa"/>
            </w:tcMar>
            <w:vAlign w:val="center"/>
          </w:tcPr>
          <w:p w14:paraId="11AA1FE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textAlignment w:val="center"/>
              <w:outlineLvl w:val="9"/>
              <w:rPr>
                <w:rFonts w:ascii="宋体" w:hAnsi="宋体" w:cs="宋体"/>
                <w:color w:val="404040"/>
                <w:kern w:val="2"/>
                <w:highlight w:val="none"/>
              </w:rPr>
            </w:pPr>
            <w:r>
              <w:rPr>
                <w:rFonts w:hint="eastAsia" w:ascii="宋体" w:hAnsi="宋体" w:cs="宋体"/>
                <w:color w:val="404040"/>
                <w:kern w:val="2"/>
                <w:highlight w:val="none"/>
              </w:rPr>
              <w:t>38人</w:t>
            </w:r>
          </w:p>
        </w:tc>
        <w:tc>
          <w:tcPr>
            <w:tcW w:w="3593" w:type="dxa"/>
            <w:tcMar>
              <w:top w:w="0" w:type="dxa"/>
              <w:bottom w:w="0" w:type="dxa"/>
            </w:tcMar>
            <w:vAlign w:val="center"/>
          </w:tcPr>
          <w:p w14:paraId="75705FF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color w:val="404040"/>
                <w:kern w:val="2"/>
                <w:highlight w:val="none"/>
              </w:rPr>
            </w:pPr>
          </w:p>
        </w:tc>
      </w:tr>
    </w:tbl>
    <w:p w14:paraId="6934418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   注：（1）上表为招标最低岗位和人员要求，各投标人可根据项目管理需要和自身安排进行适当调增；</w:t>
      </w:r>
      <w:r>
        <w:rPr>
          <w:rFonts w:hint="eastAsia" w:ascii="宋体" w:hAnsi="宋体"/>
          <w:highlight w:val="none"/>
        </w:rPr>
        <w:t>有遇上级检查或街区举办活动时应无条件配合招标人</w:t>
      </w:r>
      <w:r>
        <w:rPr>
          <w:rFonts w:hint="eastAsia" w:ascii="宋体" w:hAnsi="宋体" w:cs="宋体"/>
          <w:highlight w:val="none"/>
        </w:rPr>
        <w:t>调增服务人员，以上具体费用由投标人在投标报价时综合考虑。招标人将对到岗人员进行不定时检查在岗情况，并将检查结果运用到月度考核中。</w:t>
      </w:r>
    </w:p>
    <w:p w14:paraId="4DC3E9D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（2）</w:t>
      </w:r>
      <w:r>
        <w:rPr>
          <w:rFonts w:hint="eastAsia" w:ascii="宋体" w:hAnsi="宋体" w:cs="宋体"/>
          <w:color w:val="000000"/>
          <w:highlight w:val="none"/>
        </w:rPr>
        <w:t>为保证服务质量，中标单位人员配置须遵守《劳动法》等相关规定，避免引起劳动纠纷。确保服务人员平稳过渡，合同期内物业服务单位对本项目所有人员的更换需经甲方同意确认</w:t>
      </w:r>
      <w:r>
        <w:rPr>
          <w:rFonts w:hint="eastAsia" w:ascii="宋体" w:hAnsi="宋体" w:cs="宋体"/>
          <w:highlight w:val="none"/>
        </w:rPr>
        <w:t>。</w:t>
      </w:r>
    </w:p>
    <w:p w14:paraId="2C00098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Style w:val="16"/>
          <w:rFonts w:hint="eastAsia" w:ascii="宋体" w:hAnsi="宋体" w:cs="宋体"/>
          <w:b w:val="0"/>
          <w:bCs w:val="0"/>
          <w:color w:val="000000"/>
          <w:highlight w:val="none"/>
        </w:rPr>
        <w:t>（3）设施配备到位：</w:t>
      </w:r>
      <w:r>
        <w:rPr>
          <w:rFonts w:hint="eastAsia" w:ascii="宋体" w:hAnsi="宋体" w:cs="宋体"/>
          <w:color w:val="000000"/>
          <w:highlight w:val="none"/>
        </w:rPr>
        <w:t>有与其资质相称的管理设施办公设施设备较先进完备，有完善的资金来源计划和物资装备计划，以便开展各项服务工作，具体物资装备配备有：办公设备；维修设备；保洁器具；保安用品等（对讲机、疏散照明灯）。</w:t>
      </w:r>
    </w:p>
    <w:p w14:paraId="0AE06C4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Style w:val="16"/>
          <w:rFonts w:hint="eastAsia" w:ascii="宋体" w:hAnsi="宋体" w:cs="宋体"/>
          <w:b w:val="0"/>
          <w:bCs w:val="0"/>
          <w:color w:val="000000"/>
          <w:highlight w:val="none"/>
        </w:rPr>
        <w:t>（4）物业服务用房的配备：</w:t>
      </w:r>
      <w:r>
        <w:rPr>
          <w:rFonts w:hint="eastAsia" w:ascii="宋体" w:hAnsi="宋体" w:cs="宋体"/>
          <w:color w:val="000000"/>
          <w:highlight w:val="none"/>
        </w:rPr>
        <w:t>根据物业管理工作需要，物业服务管理用房由业主方提供，包括办公用房、物品仓库、维修操作房、值班室、保洁更衣室等。</w:t>
      </w:r>
    </w:p>
    <w:p w14:paraId="1F687F7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Style w:val="16"/>
          <w:rFonts w:hint="eastAsia" w:ascii="宋体" w:hAnsi="宋体" w:cs="宋体"/>
          <w:highlight w:val="none"/>
        </w:rPr>
        <w:t>2、</w:t>
      </w:r>
      <w:r>
        <w:rPr>
          <w:rFonts w:hint="eastAsia" w:ascii="宋体" w:hAnsi="宋体" w:cs="宋体"/>
          <w:highlight w:val="none"/>
        </w:rPr>
        <w:t>管理科学规范：</w:t>
      </w:r>
    </w:p>
    <w:p w14:paraId="0932FC4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管理制度健全：有基本的服务规范标准与物业管理制度，并制定具体作业流程及物业管理工作计划、制订上岗要求及服务准则、推行公众制度管理和宣传计划、实施员工考核办法、开展服务责任分区及公示、实行岗位培训制度等。</w:t>
      </w:r>
    </w:p>
    <w:p w14:paraId="5CA9D59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（2）管理手段先进：充分应用计算机等现代化管理手段进行科学管理，财务管理、业主资料、房屋档案、设备档案、投诉管理等不仅要求纸质资料齐全，且全面实行计算机管理。</w:t>
      </w:r>
    </w:p>
    <w:p w14:paraId="7302857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（3）管理责任明晰：有完善的各类管理人员工作与业绩考核制度，各岗位责任制明确，物业管理人员的培训应有计划、有考核、有记录、有成效：</w:t>
      </w:r>
    </w:p>
    <w:p w14:paraId="4ABA3D9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（4）管理流程公开：物业公司要主动公开管理服务流程，主动接受业主群众监督。及时向业主汇报工作进度，接受业主后勤管理部门的日常监督和不定期抽查抽检。</w:t>
      </w:r>
    </w:p>
    <w:p w14:paraId="4B65F6A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3、沟通渠道畅通：</w:t>
      </w:r>
    </w:p>
    <w:p w14:paraId="3787DE6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设立兴化府历史文化街区物业服务中心：设有各种沟通途径的中心，公示8小时服务电话和24小时值班电话，即时解答业主的咨询及受理维修等。业主有事可直接与值班人员或区域责任人联系。业主咨询、业主急修半小时内、其它报修按双方约定时间到达现场，有完整的报修、维修记录。</w:t>
      </w:r>
    </w:p>
    <w:p w14:paraId="62B1BCC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（2）设立投诉中心：及时处理业主投诉，投诉在24小时内予以答复处理。</w:t>
      </w:r>
    </w:p>
    <w:p w14:paraId="203BD6E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（3）主动支持配合：积极协助业主筹办各种会议、活动事项，做好会场布置、秩序维护、后勤保障、临时搬运、代接打值班电话、材料分发等工作。</w:t>
      </w:r>
    </w:p>
    <w:p w14:paraId="5CD1506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（4）建立回访制度。每季至少一次征询业主对物业服务的意见，物业公司要让业主和物业使用人的满意率达到90%以上的创优指标，对不满意的情况进行分析并及时整改。</w:t>
      </w:r>
    </w:p>
    <w:p w14:paraId="7517B44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4、创优目标明确：</w:t>
      </w:r>
    </w:p>
    <w:p w14:paraId="0DF21C0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物业公司要制定创优目标与计划，须按下列约定的创优指标，履行“维修合格、服务优质、管理有效”的创优服务承诺。</w:t>
      </w:r>
    </w:p>
    <w:p w14:paraId="08221CF2">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（1）维修合格</w:t>
      </w:r>
    </w:p>
    <w:p w14:paraId="1546C2D4">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A. 维修工程质量合格率=质量合格的维修单数/总维修单数×100%=100%</w:t>
      </w:r>
    </w:p>
    <w:p w14:paraId="59AEA058">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B. 房屋设施设备的维修、养护合格完好率达98%。</w:t>
      </w:r>
    </w:p>
    <w:p w14:paraId="684E254B">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C. 安全监控、消防监控等设备管完好率达98%以上。</w:t>
      </w:r>
    </w:p>
    <w:p w14:paraId="319ACF2C">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D. 道路、车场完好率≥98%</w:t>
      </w:r>
    </w:p>
    <w:p w14:paraId="643E46E7">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E. 公共照明完好率＞98%</w:t>
      </w:r>
    </w:p>
    <w:p w14:paraId="75111AF8">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F. 消防设施设备完好率＞98%</w:t>
      </w:r>
    </w:p>
    <w:p w14:paraId="701AFE5D">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G. 化粪池、雨水井、污水井完好率＞98%</w:t>
      </w:r>
    </w:p>
    <w:p w14:paraId="0BEEA185">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H. 排水管、明暗沟完好率＞98%</w:t>
      </w:r>
    </w:p>
    <w:p w14:paraId="481E521C">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I. 房屋外观完好率达100%</w:t>
      </w:r>
    </w:p>
    <w:p w14:paraId="1E8D5E3B">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J. 公共设施（含中央空调、高低压配电室等）完好率98%</w:t>
      </w:r>
    </w:p>
    <w:p w14:paraId="3FB0C5ED">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（2）服务优质</w:t>
      </w:r>
    </w:p>
    <w:p w14:paraId="4D40A80E">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A. 业主综合服务满意率＞90%</w:t>
      </w:r>
    </w:p>
    <w:p w14:paraId="3F2B03EA">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B. 报修15分钟内反应，反应率100%</w:t>
      </w:r>
    </w:p>
    <w:p w14:paraId="48F3DC19">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C. 急修不超过1小时、小修不超过8小时</w:t>
      </w:r>
    </w:p>
    <w:p w14:paraId="34D1D3E6">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D. 违章发生率＜1%</w:t>
      </w:r>
    </w:p>
    <w:p w14:paraId="59DDD78A">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E. 业主年有效投诉率＜3‰</w:t>
      </w:r>
    </w:p>
    <w:p w14:paraId="019FA55A">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F. 违章处理率100%</w:t>
      </w:r>
    </w:p>
    <w:p w14:paraId="40C0C1AA">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G. 维修服务回访率：实行100%回访制</w:t>
      </w:r>
    </w:p>
    <w:p w14:paraId="1F1D5903">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H. 公共绿化成活率、完好率均≥95%</w:t>
      </w:r>
    </w:p>
    <w:p w14:paraId="4FEA1825">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I. 公共清洁保洁率：清洁保洁达标面积/清洁保洁总面积×100%≥95%</w:t>
      </w:r>
    </w:p>
    <w:p w14:paraId="765F06F0">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（3）管理有效</w:t>
      </w:r>
    </w:p>
    <w:p w14:paraId="227B8853">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A. 管理人员专业培训合格率≥95%</w:t>
      </w:r>
    </w:p>
    <w:p w14:paraId="16FB6736">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B. 档案建立与完好率≥98%</w:t>
      </w:r>
    </w:p>
    <w:p w14:paraId="11718779">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C. 办公区水电总费用逐年同比下降3%</w:t>
      </w:r>
    </w:p>
    <w:p w14:paraId="4D8973DD">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D. 火灾年发生率＜0.1%</w:t>
      </w:r>
    </w:p>
    <w:p w14:paraId="3EB90F79">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E. 治安案件发生率=案件发生次数/管理天数×100%≤0.5‰</w:t>
      </w:r>
    </w:p>
    <w:p w14:paraId="09C81470">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5、房屋及共用设施管理要求</w:t>
      </w:r>
    </w:p>
    <w:p w14:paraId="2ACF940F">
      <w:pPr>
        <w:pStyle w:val="10"/>
        <w:keepNext w:val="0"/>
        <w:keepLines w:val="0"/>
        <w:pageBreakBefore w:val="0"/>
        <w:widowControl/>
        <w:kinsoku/>
        <w:overflowPunct/>
        <w:topLinePunct w:val="0"/>
        <w:autoSpaceDE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(1)房屋建筑日常管理要求</w:t>
      </w:r>
    </w:p>
    <w:p w14:paraId="2B2F99E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A、完善标志标识：在主出入口设有平面示意图，各主要通道设有指引路标；建立、完善主要出入口、各大楼内外、各机房、设施设备等各类指示牌、标识牌的设置。各公共配套设施、场地有明显标志。各类标识牌维护完善，无标志破损现象。</w:t>
      </w:r>
    </w:p>
    <w:p w14:paraId="06EFE34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B、加强日常监管：确保无私搭乱建及擅自改变房屋用途的现象；制止在外墙及公共空间乱张贴、乱涂、乱画、乱悬挂的行为。房屋装饰装修符合规定，无私改乱拆管线、破坏房屋结构安全或损害公共利益的现象；</w:t>
      </w:r>
    </w:p>
    <w:p w14:paraId="6D7BCBF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C、实施巡查制度：每日至少巡查两次各区域、通道以及其他共用部位的门窗、玻璃等，并做好巡查记录，发现问题及时维修养护，空置房每天巡视1次，做好巡查记录。发现门窗损坏、锁被撬、异味等异常情况及时通知业主，并采取必要的紧急处理措施。</w:t>
      </w:r>
    </w:p>
    <w:p w14:paraId="0CE45BF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(2)房屋建筑日常养护要求</w:t>
      </w:r>
    </w:p>
    <w:p w14:paraId="35F300B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Fonts w:hint="eastAsia" w:ascii="宋体" w:hAnsi="宋体" w:cs="宋体"/>
          <w:highlight w:val="none"/>
        </w:rPr>
        <w:t>1）物业共用设施设备的日常维护保养。</w:t>
      </w:r>
    </w:p>
    <w:p w14:paraId="6036B3F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Fonts w:hint="eastAsia" w:ascii="宋体" w:hAnsi="宋体" w:cs="宋体"/>
          <w:highlight w:val="none"/>
        </w:rPr>
        <w:t>具体包括：上下水管道、落水管、污水管、雨水管、共用照明、楼道灯、应急灯、避雷装置、水箱、楼内的给排水系统、消防设施设备、智能化监控设备、供配电系统等；</w:t>
      </w:r>
    </w:p>
    <w:p w14:paraId="341E2DE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b/>
          <w:bCs/>
          <w:highlight w:val="none"/>
        </w:rPr>
      </w:pPr>
      <w:r>
        <w:rPr>
          <w:rFonts w:hint="eastAsia" w:ascii="宋体" w:hAnsi="宋体" w:cs="宋体"/>
          <w:highlight w:val="none"/>
        </w:rPr>
        <w:t>2）</w:t>
      </w:r>
      <w:r>
        <w:rPr>
          <w:rFonts w:hint="eastAsia" w:ascii="宋体" w:hAnsi="宋体" w:cs="宋体"/>
          <w:b/>
          <w:bCs/>
          <w:highlight w:val="none"/>
        </w:rPr>
        <w:t>附属建筑物、构筑物的日常维护和管理。</w:t>
      </w:r>
    </w:p>
    <w:p w14:paraId="036D23F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2" w:firstLineChars="200"/>
        <w:outlineLvl w:val="9"/>
        <w:rPr>
          <w:rFonts w:ascii="宋体" w:hAnsi="宋体" w:cs="宋体"/>
          <w:b/>
          <w:bCs/>
          <w:color w:val="111111"/>
          <w:highlight w:val="none"/>
          <w:shd w:val="clear" w:color="auto" w:fill="FFFFFF"/>
        </w:rPr>
      </w:pPr>
      <w:r>
        <w:rPr>
          <w:rFonts w:hint="eastAsia" w:ascii="宋体" w:hAnsi="宋体" w:cs="宋体"/>
          <w:b/>
          <w:bCs/>
          <w:highlight w:val="none"/>
        </w:rPr>
        <w:t>具体包括：</w:t>
      </w:r>
      <w:r>
        <w:rPr>
          <w:rFonts w:hint="eastAsia" w:ascii="宋体" w:hAnsi="宋体" w:cs="宋体"/>
          <w:b/>
          <w:bCs/>
          <w:color w:val="111111"/>
          <w:highlight w:val="none"/>
          <w:shd w:val="clear" w:color="auto" w:fill="FFFFFF"/>
        </w:rPr>
        <w:t>房屋修缮施工应当使用传统材料，采取传统做法，保持传统形式，修缮后应当达到结构安全、能源清洁、设施基本完善的要求，符合抗震和建筑节能标准;改善类建筑应以修缮为主；经鉴定为严重破损或危险房屋的，可按历史格局和外貌翻建保留类建筑原则上应该保留，需要改建时应恢复传统建筑形式；整饰类建筑应按照保护区传统特征进行整饰或改建。</w:t>
      </w:r>
    </w:p>
    <w:p w14:paraId="381FF2B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2" w:firstLineChars="200"/>
        <w:outlineLvl w:val="9"/>
        <w:rPr>
          <w:rFonts w:ascii="宋体" w:hAnsi="宋体" w:cs="宋体"/>
          <w:b/>
          <w:bCs/>
          <w:color w:val="111111"/>
          <w:highlight w:val="none"/>
          <w:shd w:val="clear" w:color="auto" w:fill="FFFFFF"/>
        </w:rPr>
      </w:pPr>
      <w:r>
        <w:rPr>
          <w:rFonts w:hint="eastAsia" w:ascii="宋体" w:hAnsi="宋体" w:cs="宋体"/>
          <w:b/>
          <w:bCs/>
          <w:color w:val="111111"/>
          <w:highlight w:val="none"/>
          <w:shd w:val="clear" w:color="auto" w:fill="FFFFFF"/>
        </w:rPr>
        <w:t>对在传统街巷内部和周围新建、扩建、改建建筑，在高度、体量、材料、色彩等方面提出相应的规划控制措施，以保存原有的空间环境特征。</w:t>
      </w:r>
    </w:p>
    <w:p w14:paraId="4ABFD82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2" w:firstLineChars="200"/>
        <w:outlineLvl w:val="9"/>
        <w:rPr>
          <w:rFonts w:ascii="宋体" w:hAnsi="宋体" w:cs="宋体"/>
          <w:b/>
          <w:bCs/>
          <w:color w:val="111111"/>
          <w:highlight w:val="none"/>
          <w:shd w:val="clear" w:color="auto" w:fill="FFFFFF"/>
        </w:rPr>
      </w:pPr>
      <w:r>
        <w:rPr>
          <w:rFonts w:hint="eastAsia" w:ascii="宋体" w:hAnsi="宋体" w:cs="宋体"/>
          <w:b/>
          <w:bCs/>
          <w:color w:val="111111"/>
          <w:highlight w:val="none"/>
          <w:shd w:val="clear" w:color="auto" w:fill="FFFFFF"/>
        </w:rPr>
        <w:t>文物保护单位和历史建筑应严格保持原有高度、体量、材料和色彩。修缮类建筑本体的外部应采用原有建筑材料和色彩。</w:t>
      </w:r>
    </w:p>
    <w:p w14:paraId="370AF37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2" w:firstLineChars="200"/>
        <w:outlineLvl w:val="9"/>
        <w:rPr>
          <w:rFonts w:ascii="宋体" w:hAnsi="宋体" w:cs="宋体"/>
          <w:b/>
          <w:bCs/>
          <w:color w:val="111111"/>
          <w:highlight w:val="none"/>
          <w:shd w:val="clear" w:color="auto" w:fill="FFFFFF"/>
        </w:rPr>
      </w:pPr>
      <w:r>
        <w:rPr>
          <w:rFonts w:hint="eastAsia" w:ascii="宋体" w:hAnsi="宋体" w:cs="宋体"/>
          <w:b/>
          <w:bCs/>
          <w:color w:val="111111"/>
          <w:highlight w:val="none"/>
          <w:shd w:val="clear" w:color="auto" w:fill="FFFFFF"/>
        </w:rPr>
        <w:t>新建建筑应分区域提出建筑形式、高度、体量和色彩的控制要求。在保持和优化原街道肌理的原则下，确定体量控制要求；以协调、融合为原则，明确色彩控制要求。</w:t>
      </w:r>
    </w:p>
    <w:p w14:paraId="6A74310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Fonts w:hint="eastAsia" w:ascii="宋体" w:hAnsi="宋体" w:cs="宋体"/>
          <w:highlight w:val="none"/>
        </w:rPr>
        <w:t>3）每日定期定点巡查，报修、检修及时，报修、检修、回访要有完整的记录。</w:t>
      </w:r>
    </w:p>
    <w:p w14:paraId="3670CAF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Fonts w:hint="eastAsia" w:ascii="宋体" w:hAnsi="宋体" w:cs="宋体"/>
          <w:highlight w:val="none"/>
        </w:rPr>
        <w:t>4）共用设施设备运行良好，定期保养和检修，保养和检修记录完整。</w:t>
      </w:r>
    </w:p>
    <w:p w14:paraId="59A85A2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Fonts w:hint="eastAsia" w:ascii="宋体" w:hAnsi="宋体" w:cs="宋体"/>
          <w:highlight w:val="none"/>
        </w:rPr>
        <w:t>5）上述检修服务为日常检查、简易维修更换，涉及专业设备、材料维修、维保、更换等则由采购人另行处置。</w:t>
      </w:r>
    </w:p>
    <w:p w14:paraId="595D3CE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(3)房屋修缮管理要求</w:t>
      </w:r>
    </w:p>
    <w:p w14:paraId="5C4B0E1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A、及时修补破损：物业公司要确定楼宇容易发生问题的重点部位，定期检查房屋共用部位的使用状况，及时修补房屋建筑公共部位的漏水和破损，确保共用部位的地面、楼梯、走道、扶手、天花板、吊顶等及各类管道无破损。</w:t>
      </w:r>
    </w:p>
    <w:p w14:paraId="1B4FB9F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B、遵循维修程序：发现问题，属小修范围的，及时组织修复；属大、中修范围的，及时编制维修计划和住房专项维修资金使用计划，向业主提出报告与建议，根据业主的决定，及时组织维修。</w:t>
      </w:r>
    </w:p>
    <w:p w14:paraId="726F669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C、节约使用资金：合理安排年度修缮费用，配合业主做好修缮方案和工程预决算，节约使用资金。</w:t>
      </w:r>
    </w:p>
    <w:p w14:paraId="5DDBC4C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6、物业设备维修、养护、运行和管理要求</w:t>
      </w:r>
    </w:p>
    <w:p w14:paraId="2E9F01F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(1)设施设备管理的原则要求</w:t>
      </w:r>
    </w:p>
    <w:p w14:paraId="17D5448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A、健全管理制度：通过制定各项符合公共设备运行要求的值班、交接班制度以及设备操作人员的岗位责任制，推行“设备定号、管理定人”的管理原则。细化各项管理制度（包括给排水系统运行维护管理、配电运行维护管理、消控室运行维护管理等），建立共用设施设备档案（设备台帐）、技术资料档案，各设备的帐、卡、物一致。制定详细的设备三级维修保养制度。采用日常保养、定期维护与大中修（改造）计划相结合的维修保养体制，配备所需专业技术人员，严格执行操作规程和维修保养内容要求，容易危及人身安全的设施设备有明显警示标识和防范措施；对可能发生的各种突发设备故障制定有应急方案。</w:t>
      </w:r>
    </w:p>
    <w:p w14:paraId="6E46DB7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B、加强运行管理：对各种设备进行监控管理；实时监视智能化系统的运行情况；物业设备标志齐全、规范，责任人明确，操作人员严格执行设备设施操作规程及保养规范，坚持“零干扰服务”，定时将各设备运行情况记录在案；把该设备的状态与该员工的绩效考核联系起来，保持各设备房整洁、有序、正常运行；定时开关楼宇公共部位照明系统；保证正常供电、供水、供冷，设备运行正常；定期对物业设备进行巡查，运行、维保、巡查、操作等序时记录要齐全、清楚。巡查中发现属于小修的要限时修复；属于大、中修或需要更新改造的，及时编制计划，报告采购人审定后实施。安全监控、消防监控等设备管理完好率达98%以上。</w:t>
      </w:r>
    </w:p>
    <w:p w14:paraId="45A54A5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C、切实做好保养：根据已制定的维修保养计划，按时予以实施；定期对设备检查、清洁、润滑,并记录在案；定期对管道、管线、消防、智能化系统等设备、设施进行巡视,发现问题，及时解决；实行24小时报修值班制度；对设备进行定期专业性保养，每次检修保养完成进行验收确认；定期更换备用应急发电机润滑油。</w:t>
      </w:r>
    </w:p>
    <w:p w14:paraId="633EAEB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(2)设备管理基本要求</w:t>
      </w:r>
    </w:p>
    <w:p w14:paraId="30C848C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A、设备综合管理：设施设备运行正常，管理期间无重大设备事故发生； 水、电、消防、监控等设备运行维修人员操作技能熟练；严格执行设施设备操作规程及保养规范；机房出入及钥匙管理有严格规定；共用设施设备档案（设备台帐），设施设备的运行、检查、维修、保养等记录齐全，字迹工整；设备房保持整洁、通风，无杂物、灰尘；无跑、冒、滴、漏和鼠害现象；机房环境符合设备要求；设备不发热、不滴水、不漏油、不漏气、不生锈、无异响；设施设备标志齐全、规范，责任人明确；设备运行正常，安全监控、消防监控等设备完好率达98%以上。</w:t>
      </w:r>
    </w:p>
    <w:p w14:paraId="15C77D4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 xml:space="preserve">B、供电设备维护保养：高压设备按期年检；妥善保管操作用具，高压操作用具完好并定期送检；严格执行临时用电管理措施与停电应急处理措施；备用应急发电机完好可随时起用，维护、保养到位；限电、停电有明确的审批权限，按规定时间提前通知。每日按照《设备、设施巡视内容与程序》巡视配电机房设备，并记录《配电房巡视记录表》；配电机房每周打扫一次，配电柜每月清洁一次。按《设备、设施（年度）周期检查、保养计划表》和《供配电设备（设施）维修保养规程》的内容要求进行周期检查、保养，并将结果记录于《设备、设施周期检查、保养记录表》内；供配电设备、设施维修工作记录于《设备、设施维修记录表》内；供配电设备发生异常和故障及时报告物业公司负责人，记录《设备故障记录表》，并在负责人协同下排除异常和故障。每年12月制订下一年度《设备、设施（年度）周期检查、保养计划表》，并按运行情况制订《设备、设施（年度）维修计划表》；物业公司每月定期组织电工检查供配电设备的运行状况，填写《供配电系统检查表》；维修工程实行让业主“修前检验、修后签收”制度，加强维修外购材料、备件的验收控制，确保质量；较为复杂的维修工程，事先应制订详细的工作方案，同时要求物业公司负责人到现场进行指导、监督和验收；根据楼宇实际用电负荷情况，在满足各用电需求的条件下，合理投切变压器的使用数量，降低变压器的损耗，确保经济运行。 </w:t>
      </w:r>
    </w:p>
    <w:p w14:paraId="228773B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(3)设备管理具体要求</w:t>
      </w:r>
    </w:p>
    <w:p w14:paraId="48B0D66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A、消防设施保养：设备完好，可随时启用；消防通道畅通。</w:t>
      </w:r>
    </w:p>
    <w:p w14:paraId="09C03D5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B、弱电系统维护保养</w:t>
      </w:r>
    </w:p>
    <w:p w14:paraId="567538A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按工作标准规定时间排除故障，保证各弱电系统正常工作；监控系统、消控系统等智能化系统设施设备运行正常，有记录并按规定期限保存；定期对系统的传输线路进行检查检测，保证系统的正常完好。</w:t>
      </w:r>
    </w:p>
    <w:p w14:paraId="4651D21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C、空调维护保养</w:t>
      </w:r>
    </w:p>
    <w:p w14:paraId="2CB13CC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按照空调保养标准每年一次清洗、清理全部内机及外机，包括过滤网的清洗、室内机面板的清洗消毒。室外机热交换的风机叶片清洗等按照双方商定的清洗、清理时间，按时完成工作任务。</w:t>
      </w:r>
    </w:p>
    <w:p w14:paraId="1251524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每年一次全面检查空调的运转情况，按照规定做好室内外机的保养。包括温度的测定，电流、电压测定，绝缘测定和电器动作确认，运转声、震动等的测定，螺丝、坚固件的确认，冷媒泄漏的检查，判断运转状态是否正常等内容，并作好完整记录。</w:t>
      </w:r>
    </w:p>
    <w:p w14:paraId="1F1BB45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D、给排水系统维修保养</w:t>
      </w:r>
    </w:p>
    <w:p w14:paraId="6F94114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D1、管理严密：建立楼宇用水、供水管理制度，积极协助业主安排合理的用水和节水计划，负责用户水表的抄表及造册。限水、停水按规定时间提前通知业主；</w:t>
      </w:r>
    </w:p>
    <w:p w14:paraId="6FAAD9B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D2、清洁供水：高压水泵、水池、水箱有严格的管理措施，泵房、水池、水箱清洁卫生，二次供水、蓄水设施设备每三个月进行一次清洗消毒，每月及时将水样送达有关部门检测，保证二次供水卫生达到标准，无二次污染；保证设备及周围环境整洁；水池、水箱周围无污染隐患，发现异常及时处理。</w:t>
      </w:r>
    </w:p>
    <w:p w14:paraId="7C8FA74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D3、通畅排水：排水系统通畅，公共雨、污水管道每年疏通1次；雨、污水井每季度检查1次，并视检查情况及时清掏；化粪池每2个月检查1次，每年清掏1次，发现异常及时清掏；汛期道路无积水，地下室、车库及设备房无积水、浸泡事件发生；</w:t>
      </w:r>
    </w:p>
    <w:p w14:paraId="3CACF31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D4、检修高效：定期巡查，设备、管道工作正常，标识清晰正确，无跑冒滴漏；制定事故应急处理方案并严格执行。遇有事故，维修人员在规定时间内进行抢修，确保无跑水、泛水、长时间停水现象。</w:t>
      </w:r>
    </w:p>
    <w:p w14:paraId="591B99B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E、通风系统维护保养</w:t>
      </w:r>
    </w:p>
    <w:p w14:paraId="08741C9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每天巡查一次，每半年保养一次；机身保持清洁，油漆无脱落，运转无异常声响；各开关处于“自动”状态。</w:t>
      </w:r>
    </w:p>
    <w:p w14:paraId="51C0859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F、照明设施</w:t>
      </w:r>
    </w:p>
    <w:p w14:paraId="35641D7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楼道灯、路灯等每日至少巡查一次，发现损坏及时检修，室内外所有发光灯具按原配置标准随坏随修。</w:t>
      </w:r>
    </w:p>
    <w:p w14:paraId="4134FDE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G、监控系统</w:t>
      </w:r>
      <w:r>
        <w:rPr>
          <w:highlight w:val="none"/>
        </w:rPr>
        <w:t xml:space="preserve"> </w:t>
      </w:r>
    </w:p>
    <w:p w14:paraId="5382EDC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每天巡查，出现故障随时修复；各探头焦距适度、无灰尘、无异常，显示清晰，防尘罩密封良好。</w:t>
      </w:r>
    </w:p>
    <w:p w14:paraId="7850B77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H、业主请修</w:t>
      </w:r>
    </w:p>
    <w:p w14:paraId="77DC966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遇请修项目15分钟内响应，及时率达100%以上，合格率达100%以上；急修项目1小时内解决，小修项目8小时内解决；预约报修按双方约定时间到达现场；回访率100%以上。</w:t>
      </w:r>
    </w:p>
    <w:p w14:paraId="0DC6C2E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I、防避雷系统</w:t>
      </w:r>
    </w:p>
    <w:p w14:paraId="4E7FCD5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每周巡查一次，每季进行一次保养，每年进行一次接地电阻测试，系统完好率100%。</w:t>
      </w:r>
    </w:p>
    <w:p w14:paraId="089390E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7、环境卫生保洁的维护要求</w:t>
      </w:r>
    </w:p>
    <w:p w14:paraId="736F758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(1)卫生保洁特点与重点</w:t>
      </w:r>
    </w:p>
    <w:p w14:paraId="730B21D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highlight w:val="none"/>
        </w:rPr>
        <w:t>在规定时间进行全面性保洁，不定时进行巡回保洁的方式</w:t>
      </w:r>
      <w:r>
        <w:rPr>
          <w:rFonts w:hint="eastAsia" w:ascii="宋体" w:hAnsi="宋体" w:cs="宋体"/>
          <w:highlight w:val="none"/>
        </w:rPr>
        <w:t>。巡回保洁重点为大楼各大厅、街道、楼层通道、卫生间等部位。通过实行保洁分区负责制，划定责任区域，规定巡回保洁及检查频率等措施，以保证各楼宇在办公时间的清洁。</w:t>
      </w:r>
    </w:p>
    <w:p w14:paraId="7C2FAE5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(2)保洁服务基本要求</w:t>
      </w:r>
    </w:p>
    <w:p w14:paraId="6A1BA27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highlight w:val="none"/>
        </w:rPr>
        <w:t>分析各区域的卫生保洁特点与重点，制定相应的管理制度</w:t>
      </w:r>
      <w:r>
        <w:rPr>
          <w:rFonts w:hint="eastAsia" w:ascii="宋体" w:hAnsi="宋体" w:cs="宋体"/>
          <w:highlight w:val="none"/>
        </w:rPr>
        <w:t>；每年定期对水塔、水池（生活水池、消防水池）等二次供水、蓄水设备进行清洗、消毒，保证设备及周围环境整洁；保证环卫设施完好整洁，环卫设施包括楼层内的大垃圾桶、茶叶篓及桶、烟灰桶、蹲位内的小垃圾桶、垃圾分类桶、垃圾车、保洁及维修专用提示牌、各类地毯、绿化品名标识及各类标识等；及时清理化粪池及垃圾清运，每月定期清理、检查雨水井、污水井，发现不通及时处理，雨季、台风期间，更要及时巡查。每年至少四次杀虫灭鼠，确保无鼠害、虫害，维持保持整体环境整洁。</w:t>
      </w:r>
    </w:p>
    <w:p w14:paraId="375FBB2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Fonts w:hint="eastAsia" w:ascii="宋体" w:hAnsi="宋体" w:cs="宋体"/>
          <w:highlight w:val="none"/>
        </w:rPr>
        <w:t>(3)保洁具体要求</w:t>
      </w:r>
    </w:p>
    <w:p w14:paraId="2499415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1）公共区域的全面性保洁：每天做好各区域街道路面、通道、楼梯间地面、墙壁的整体清扫、拖擦，公共部位门窗的保洁、公共卫生间、公共通道、停车场等公共空间地面清洁、擦拭、垃圾清运。</w:t>
      </w:r>
    </w:p>
    <w:p w14:paraId="5716021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2）公共区域的巡回性保洁：每天7：00－18：30对各办公区域公共卫生间、烟灰筒每2小时清理保洁一次；街道路面、公共卫生间及各公共通道部位随脏随清理，拖擦通道地面每天一次。</w:t>
      </w:r>
    </w:p>
    <w:p w14:paraId="5F0FCB7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兴化府历史文化街区管理处办公用房区域</w:t>
      </w:r>
    </w:p>
    <w:p w14:paraId="7A24787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①每日循环清扫地面垃圾，清除台面、地面的污迹，每月彻底清洗两次，平时发现污渍及时处理。</w:t>
      </w:r>
    </w:p>
    <w:p w14:paraId="2382480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②每日抹净门厅玻璃，每周彻底清洗一次，保持玻璃干净明亮，擦净门框、柱子等灰尘。</w:t>
      </w:r>
    </w:p>
    <w:p w14:paraId="7E861EB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③每日抹净楼道内的指示牌、告示牌、标语牌、风口等。</w:t>
      </w:r>
    </w:p>
    <w:p w14:paraId="1F3361F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④每日擦净楼道内、走廊侧墙壁，保持洁净，定期清除灯罩和消防器材等灰尘，保持无积尘、干净。擦净楼梯扶手，拖净楼梯踏步，各可视手及之处，经常抹尘，保持清洁。</w:t>
      </w:r>
    </w:p>
    <w:p w14:paraId="52C7222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⑤垃圾不能满过筒身高度，每日清倒垃圾两次，及时更换垃圾袋，及时处理垃圾筒上面的污迹，使其外表干净、光亮、无满溢垃圾现象。</w:t>
      </w:r>
    </w:p>
    <w:p w14:paraId="06E971C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b/>
          <w:bCs/>
          <w:highlight w:val="none"/>
        </w:rPr>
      </w:pPr>
      <w:r>
        <w:rPr>
          <w:rFonts w:hint="eastAsia" w:ascii="宋体" w:hAnsi="宋体" w:cs="宋体"/>
          <w:b/>
          <w:bCs/>
          <w:highlight w:val="none"/>
        </w:rPr>
        <w:t>兴化府历史文化街区公共厕所：</w:t>
      </w:r>
    </w:p>
    <w:p w14:paraId="2E29BD1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①拖洗所有卫生间地面，抹净洁具、门框、墙身，每天循环多次，保持无灰尘、无垃圾、无异味，无手脚印、无污渍等。</w:t>
      </w:r>
    </w:p>
    <w:p w14:paraId="650D914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②洗手间隔板每天擦抹一次。小便池、厕位、水池每小时清洗2次，巡回保洁，每天用洗液清洗一次。洁具每周用消毒剂消毒两次，整体卫生间全面消毒，每月一次。洗手台抛光保养，镜面、台面、洗面盆每天清洁，巡回保洁，上班时间巡视发现污迹、水迹、积水、头发、手印、便迹、异味、纸屑及塑料袋等及时清理。</w:t>
      </w:r>
    </w:p>
    <w:p w14:paraId="6B9E9C9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③每周一次全面清洗墙面瓷砖，地面用清洁剂刷洗，天花板擦净，灯具、风口抹尘，保持干净，无污渍。巡回保洁，保持地面清洁、干燥。</w:t>
      </w:r>
    </w:p>
    <w:p w14:paraId="65C2CD2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④及时收集各类垃圾，堆放在统一收集点。清运时密封装置，确保无抛洒和漏水现象。及时清洗垃圾筒筒身，更换垃圾袋，保持干净、无异味、无满溢，每周使用消毒剂进行彻底消毒，使蚊蝇鼠虫无滋生源。</w:t>
      </w:r>
    </w:p>
    <w:p w14:paraId="54ADEA8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firstLineChars="200"/>
        <w:outlineLvl w:val="9"/>
        <w:rPr>
          <w:highlight w:val="none"/>
        </w:rPr>
      </w:pPr>
      <w:r>
        <w:rPr>
          <w:rFonts w:hint="eastAsia" w:ascii="宋体" w:hAnsi="宋体" w:cs="宋体"/>
          <w:highlight w:val="none"/>
        </w:rPr>
        <w:t>(4)保洁服务成效：</w:t>
      </w:r>
    </w:p>
    <w:p w14:paraId="74EE172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目视清洁：玻璃门窗无灰尘、污垢、污渍、水渍、手印，玻璃透亮；玻璃与结构框之间的缝隙无污垢；墙面、扶手、消防栓管、电表箱、信报箱、展品展项无积灰、广告；人行、车行通道、楼梯台阶面干净，无杂物、污渍；公共部位无乱悬挂、乱丢弃、乱堆放、乱贴乱画现象；管线无污迹、无积灰，油漆无脱落、无锈迹；灯具、灯座、灯盖、灯罩、无积灰；管道标识、指示牌等公共设施目视无明显灰尘；果皮、垃圾箱无满溢现象；无过夜垃圾，桶箱内外无污渍；公共卫生间内卫生厕纸无短缺，洁具、地面无污渍、积水；地面无杂物、垃圾、积水、污渍，目视干净；雨、污水管道无堵塞；雨、污水井底部无沉淀物，内壁无粘着物，目视无苍蝇飞绕；井盖无污迹；化粪池无积物浮于面上，出入口通畅。天花板无灰尘、蜘蛛网、污渍；地面及地毯干净、无污迹；门轨无灰尘、砂土。无乱设摊点、广告牌和乱贴乱画现象，房屋外墙无污染；地面、墙面石材清洁保养达到光洁明亮，无明显划痕，无污迹，无粘附物，无灰尘。</w:t>
      </w:r>
    </w:p>
    <w:p w14:paraId="352704C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环境卫生：管辖区域内无明显鼠害、虫害发生。公共卫生间内无异味，排水通畅，无堵塞；楼宇内废水、废气、废烟、噪音等符合国家环保标准；二次供水达到合格供水单位标准，水质检验符合生活用水标准；无流行性传染病发生。</w:t>
      </w:r>
    </w:p>
    <w:p w14:paraId="0A3F82F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8、安全防范管理要求</w:t>
      </w:r>
    </w:p>
    <w:p w14:paraId="3E448BB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根据兴化府历史文化街区各主、次通道布局以及办公大楼的开放、关闭规律，安全管理是管理重点，物业公司要坚持“人防、技防”相结合的原则，通过实行重要部位定岗值勤与区域巡逻检查相结合方式，力求在兴化府历史文化街区内外构建一张严密、高效的安全防范网络。</w:t>
      </w:r>
    </w:p>
    <w:p w14:paraId="07C9FAD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（1）严密防范、强化值勤：各主出入口24小时均设有安保员执勤，密切注意责任区域的进出人员，维护好秩序安全。严禁携带易燃、易爆、剧毒、放射等危险物品。</w:t>
      </w:r>
    </w:p>
    <w:p w14:paraId="6A1C605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①负责广场、社会停车场、出租停车场及场区道路出入口的值班、巡逻、秩序维持、车辆停放等安全保卫工作，确保上述地域内的人身财物安全，以及工作正常有序运转。各出入口和要害部位实行24小时值班，确保无漏岗、脱岗等失职现象；发现情况须及时向上级汇报并作相应处理，必要时向当地公安机关报告，填写当班记录。</w:t>
      </w:r>
    </w:p>
    <w:p w14:paraId="17B7FBE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②在物管区域范围内巡逻，对重点区域加强巡逻，每组巡逻人员须着装规范整齐。巡逻时发现问题应及时果断处置，并迅速汇报相关领导。巡逻后要有记录，建立台帐。</w:t>
      </w:r>
    </w:p>
    <w:p w14:paraId="6F26C41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③责任区域内禁止摆摊设点（大排挡、烧烤及地摊等）</w:t>
      </w:r>
    </w:p>
    <w:p w14:paraId="0BA08BF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加强监视、严格巡逻：全天候认真监视各个区域的电子摄像，及时与业主联系，做好摄像录入、保存与相关记录工作；岗位设置合理有序，将各主要通道全部纳入保卫视线；合理设定安全管理员的巡查路线及时间，巡查措施，以保证所管项目的安全。巡查中要求认真检查、严密巡视，重点检查广场楼宇安全状况及防火、防盗设施、大门锁具及周边区域设施等情况，重点部位、重点时间以及特殊情况加强巡逻，能及时发现和消除不安全因素；对形迹可疑的人要进行盘查，必要时检查其所带物品；巡查中发现某机构门未锁或门有撬动的痕迹时，则留守一人保护现场，同时与业主联系到场查看，以确认是否有被盗的事件发生。设备房、消防楼梯间等重点区域实行每小时一次的重点巡查。制止本管理区域范围内的打架斗殴等违章事件。做好签到备查记录，杜绝因物业管理责任造成的治安案件、偷盗案件及消防事故的发生，巡查情况记录于《巡查登记表》。巡逻人员要求规范着装，对讲机、警械佩戴齐全。</w:t>
      </w:r>
    </w:p>
    <w:p w14:paraId="78E76AB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管理规范、服务热情：制订安全保卫系列管理制度（包括秩序维护服务基本要求、秩序维护人员岗位要求、秩序维护人员的基本要求、日常工作计划与记录制度、治安管理工作要求等）；交接班制度完善，有工作及交接班记录；交接班必须在正点上班前十五分钟完成；门岗值岗时要配备统一制服，严格按军事化管理、训练，训练有素、文明值勤、言语规范，认真负责。严禁脱岗；包括遇到办事群众要主动面带微笑行注目礼，保持善意的微笑；如有行动不便的群众应主动搀扶；热情回答询问，禁止与他人闲聊；协助各类会议的会场布置、接待和其它活动；保持周围环境美观。</w:t>
      </w:r>
    </w:p>
    <w:p w14:paraId="3621646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4）反应迅速、处置及时：成立紧急事件救护组织，始终处于紧急事故反应状态；建立火灾、治安、公共卫生、停电等突发事件的应急救助预案，能熟练处理好各种突发事件；发现可疑动态的，立即通知巡逻执勤人员及有关方面，并按规定进行处理，保安员迅速赶赴现场观察并进行有效处置，发生紧急事件五分钟之内到达现场。</w:t>
      </w:r>
    </w:p>
    <w:p w14:paraId="79F4EBA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9、消防管理要求</w:t>
      </w:r>
    </w:p>
    <w:p w14:paraId="3784E40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消防日常管理：执行《中华人民共和国消防法》和其他有关消防法规，实行全方位的消防管理，制定严格的消防制度并抓好落实，在明显处设立消防疏散示意图，照明设施、引路标志完好，消防设备设施完好无损，保持良好工作状态，可随时起用。消防系统设施设备齐全、完好无损，可随时起用；发现情况，及时通知相关人员到达现场处理。</w:t>
      </w:r>
    </w:p>
    <w:p w14:paraId="41A9AFF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加强动态巡查：定期检查消防设施，对各层消防箱、灭火器每月检查一次，及时更换、修复不符合规范要求的灭火设施。定期检测消防设施、器材的安全系数，做好检查记录，定期开展防火巡视与其他安全隐患排查。在可能危及人身安全的场所、设施、设备处，必须有明显标志设置和防范措施，及时清除消防通道违规摆放的物品，保证消防通道随时畅通，其相关的指示照明灯具配备保持齐全，无火灾安全隐患；确保无因物业公司责任造成的各类事故。</w:t>
      </w:r>
    </w:p>
    <w:p w14:paraId="1DAE056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重视预警管理：制订突发火灾应急方案，消防控制中心监控24小时有人值班，密切观察楼宇自动化控制系统，火灾报警联动系统、安全防范报警系统及闭路电视监控、停车场管理等各系统的运转状态，日常电视监控录像保留时间为十五天，遇特殊情况予以长期保存。定期进行消防训练，每季度模拟火灾操练1次，以熟悉操作和检查消防监控设备，掌握消防设施设备的使用方法，能及时处理各种问题；同时发动业主参与消防及其他灾害的逃生安全演练，平时物业公司要不断宣传消防法规，防火知识，并定期邀请消防队前来举办消防知识讲座，完善自救体系。</w:t>
      </w:r>
    </w:p>
    <w:p w14:paraId="3C15988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(4)完善火警处理：当消防报警主机发出火警信号时，应立即通知安全巡视员到现场确认。一旦火警被确认后，监控中心当班人员应迅速拨通“119”火警电话，讲明火灾地点、着火楼层、燃烧物质、联系电话等情况，做好火警过程记录。并指派专人到交通路口引导消防救援车辆、消防人员到现场扑救火灾。监控中心通知配电室关闭相应控制线路总电源。物业公司负责人接到监控中心的报告后，应成立临时灭火指挥部，制定灭火方案。迅速组织保卫人员到火灾现场扑救火灾。当消防队接管消控中心指挥作战时，物业公司须积极配合，做好统一指挥的协调工作。工程人员负责保护好其它主要设备。监控中心通过相应楼层的消防广播，通知非工作人员迅速撤离火灾现场，在主要通道处设专人引导疏散，让街区内人员尽速经安全通道疏散到安全地方。火灾时，人员疏散时应走消防通道，火源初起时，应迅速用手提灭火器按操作方法将初火扑灭。 火势凶猛时，扑救人员应穿好消防服，听从指挥，进行扑救。如着火点的喷淋头还未动作时，应立即击碎红玻璃管，使其喷水灭火，启动排烟系统。用消火栓灭火时，将消火栓箱打开或击碎玻璃，拉出消防水带，接上带卡，打开阀门，然后击碎报警按钮红色玻璃罩，对准火源喷出水柱。火灾扑灭后，应注意对现场全面清查，防止死火复燃。协助市消防监督机构查明火灾原因。在确保人身安全的前提下做好贵重物品转移工作。现场若有人员被困，应本着“先人员，后财产”的原则抢救。若室内无人，又无钥匙开门的情况下，则由物业公司负责人决定是否破门进入房间扑救，事后由物业公司负责向业主做解释工作。</w:t>
      </w:r>
    </w:p>
    <w:p w14:paraId="3F03B64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10、车辆及停车场管理要求</w:t>
      </w:r>
    </w:p>
    <w:p w14:paraId="4D349C8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 负责停车场的管理维护，完善停车场设施。制定管理规定：制定车辆出入、行驶、停放相关管理规定，停车场地维护养护和日常保洁、停车秩序管理等，保证区域内规范有序。落实对进入辖区内的各种车辆行驶、停放等的管理制度，车辆进出场有检查记录。</w:t>
      </w:r>
    </w:p>
    <w:p w14:paraId="73FB1B7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实施正确巡查：随时巡检地面车辆情况及周边人员动态，夜间加强巡逻，防范无关人员进入车场或接近车辆，发现异常情况及时处理并上报业主；发现车辆异常或门窗未关及时联系车主。确保无出现违章行驶、停放及因管理责任造成的车辆损坏或丢失现象，保持辖区内的道路畅通无阻。</w:t>
      </w:r>
    </w:p>
    <w:p w14:paraId="68535CA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实行专人引导：非机动车、摩托车停放于专用车库，做到交通顺畅，车辆按线行驶，按位停放。车辆进出高峰时段，加强巡视并增派临时车管员在各主要出入口对进出车辆进行疏导，引导车辆安全通行、有序停放。</w:t>
      </w:r>
    </w:p>
    <w:p w14:paraId="5E77C84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(4)强化管理手段：根据项目特点，规划车辆通行线路，道路、行车路线、停放点设置的提示或警示标志醒目、齐全、完好；要树立风险意识。</w:t>
      </w:r>
    </w:p>
    <w:p w14:paraId="05E10DE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11、档案的建立与管理要求</w:t>
      </w:r>
    </w:p>
    <w:p w14:paraId="77D163D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档案资料是物业管理的重要资源，建立完善的档案并进行科学的管理是十分必要的。物业公司必须在接管兴化府历史文化街区物业管理的同时，对区域内所有物业管理档案进行接管，包括建筑施工、竣工验收图纸、资料、和业主档案资料等。在原来档案的基础上，进行科学分类，并不断进行补充完善，并应用计算机实施规范化管理，从而建立完整的资料档案库。</w:t>
      </w:r>
    </w:p>
    <w:p w14:paraId="62AFA13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11.1、档案的接管</w:t>
      </w:r>
    </w:p>
    <w:p w14:paraId="49939BE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（1）成立档案资料室，专门负责区域内档案的接管与管理工作。</w:t>
      </w:r>
    </w:p>
    <w:p w14:paraId="1781C35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（2）制定档案接管与管理的工作流程，档案资料管理规章制度，档案资料管理员（兼）岗位责任制。</w:t>
      </w:r>
    </w:p>
    <w:p w14:paraId="1B31ECE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（3）对于区域内的工程技术、楼宇管理、经营财务、人事管理、规章制度及往来文件、质量管理文件档案资料及其他档案，进行分类编号、科学建档。</w:t>
      </w:r>
    </w:p>
    <w:p w14:paraId="3B3CC7D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11.2、档案资料分类：</w:t>
      </w:r>
    </w:p>
    <w:p w14:paraId="2C9BC3E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根据档案内容分别建立健全以下各类档案：</w:t>
      </w:r>
    </w:p>
    <w:p w14:paraId="54E844A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（1）物业竣工验收档案：其中包括：结构、建筑、电气、消防、给排水、中央空调系统等竣工图纸、设施、设备安装及验收资料；</w:t>
      </w:r>
    </w:p>
    <w:p w14:paraId="08805CC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（2）业主资料档案：其中包括：交房验收资料、业主机构组织情况、业主人员变化情况等；</w:t>
      </w:r>
    </w:p>
    <w:p w14:paraId="3C04CA7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（3）日常管理档案：其中包括装修档案、公共设施设备档案、财务档案、文化活动档案、各种往来信函及文件、住户意见调查表、服务回访表、住户投诉记录及处理情况、重大事件记录、收费资料、工具等；</w:t>
      </w:r>
    </w:p>
    <w:p w14:paraId="3001D69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（4）设备档案：其中包括水电、空调、发电机组、消控设备和高低压等各种设备的日常运行记录资料及水电表抄划度数记录资料等；</w:t>
      </w:r>
    </w:p>
    <w:p w14:paraId="6B93668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（5）值班记录档案：包括：安全保卫、消控室、外来人员出入登记、物品出入登记、车辆出入登记等。</w:t>
      </w:r>
    </w:p>
    <w:p w14:paraId="5496082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11.3、档案的管理</w:t>
      </w:r>
    </w:p>
    <w:p w14:paraId="743A7E5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充分运用计算机技术进行管理。在现代信息社会，广泛地应用计算机，参与各行业、各方面的工作，已成为现代化管理的重要手段。在档案管理上，充分发挥计算机所具有的数据处理快、贮存信息量大、安全可靠、易于保存、方便使用等优势，实现档案管理的科学化和现代化。</w:t>
      </w:r>
    </w:p>
    <w:p w14:paraId="5B18457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采用计算机贮存与原始文书档案双轨制，实现档案资料贮存方式多元化。尽可能把其他形式的档案资料转化为电脑磁盘贮存，以利于保存、查找和利用。同时，运用录像带、录音带、胶卷、照片、图纸、图表、幻灯片等多种形式贮存信息，使抽象的档案资料具体、形象化，更易于运用与接受。</w:t>
      </w:r>
    </w:p>
    <w:p w14:paraId="79CE61E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（3）做到档案组卷分类科学化。编制统一的档案组卷分类说明书，规定应按部门分类，以内容分类，按同一年度，同一保存期限，同一保密程度的顺序进行组卷，逐一编号、登记造册、编辑目录，分柜保存。</w:t>
      </w:r>
    </w:p>
    <w:p w14:paraId="4AC3E98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4）加强档案的安全、保密工作。应符合防盗、防火、防虫、防鼠、防潮的要求。贯彻执行国家保密法，档案室部分档案按其泄露、遗失会使业主、物业公司利益受到重大、较大损失和不良影响分为绝密、机密、秘密三级，其他为普通档案，不同密级的档案在保管和运用方面将区别对待。</w:t>
      </w:r>
    </w:p>
    <w:p w14:paraId="537182C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（5）因档案管理的完善与否关系到业主利益，是业主日常监督检查的必查范围。</w:t>
      </w:r>
    </w:p>
    <w:p w14:paraId="2664DCB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11.4、档案的运用</w:t>
      </w:r>
    </w:p>
    <w:p w14:paraId="78526C4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（1）员工因工作需要借阅档案，应办理借阅登记手续，并规定借阅期限。</w:t>
      </w:r>
    </w:p>
    <w:p w14:paraId="4811588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0"/>
        <w:outlineLvl w:val="9"/>
        <w:rPr>
          <w:highlight w:val="none"/>
        </w:rPr>
      </w:pPr>
      <w:r>
        <w:rPr>
          <w:rFonts w:hint="eastAsia" w:ascii="宋体" w:hAnsi="宋体" w:cs="宋体"/>
          <w:highlight w:val="none"/>
        </w:rPr>
        <w:t>（2）档案的销毁，应填写销毁单，并经物业公司管理人员及业主后勤管理部门双方方同时批准后方可执行，销毁单由档案室管理员保存。</w:t>
      </w:r>
    </w:p>
    <w:p w14:paraId="7486259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12、</w:t>
      </w:r>
      <w:r>
        <w:rPr>
          <w:rStyle w:val="16"/>
          <w:rFonts w:hint="eastAsia" w:ascii="宋体" w:hAnsi="宋体" w:cs="宋体"/>
          <w:highlight w:val="none"/>
        </w:rPr>
        <w:t>应急保障措施</w:t>
      </w:r>
    </w:p>
    <w:p w14:paraId="6F1A6CA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600"/>
        <w:outlineLvl w:val="9"/>
        <w:rPr>
          <w:highlight w:val="none"/>
        </w:rPr>
      </w:pPr>
      <w:r>
        <w:rPr>
          <w:rFonts w:hint="eastAsia" w:ascii="宋体" w:hAnsi="宋体" w:cs="宋体"/>
          <w:highlight w:val="none"/>
        </w:rPr>
        <w:t>建立严格规范的应急体系，以便应对突发的传染性疾病、火灾、治安等紧急情况。能够在发生突发事件时迅速、果断进行应急处理及响应，保护人身财产安全。中标人必须无条件地配合招标人的相关工作。</w:t>
      </w:r>
    </w:p>
    <w:p w14:paraId="7A1ED00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95"/>
        <w:outlineLvl w:val="9"/>
        <w:rPr>
          <w:highlight w:val="none"/>
        </w:rPr>
      </w:pPr>
      <w:r>
        <w:rPr>
          <w:rFonts w:hint="eastAsia" w:ascii="宋体" w:hAnsi="宋体" w:cs="宋体"/>
          <w:color w:val="000000"/>
          <w:highlight w:val="none"/>
        </w:rPr>
        <w:t>制定各种应急处置预案：</w:t>
      </w:r>
    </w:p>
    <w:p w14:paraId="61402B4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95"/>
        <w:outlineLvl w:val="9"/>
        <w:rPr>
          <w:highlight w:val="none"/>
        </w:rPr>
      </w:pPr>
      <w:r>
        <w:rPr>
          <w:rFonts w:hint="eastAsia" w:ascii="宋体" w:hAnsi="宋体" w:cs="宋体"/>
          <w:color w:val="000000"/>
          <w:highlight w:val="none"/>
        </w:rPr>
        <w:t>12.1、制定台风、地震等自然灾害应急处置预案。</w:t>
      </w:r>
    </w:p>
    <w:p w14:paraId="431E5C7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95"/>
        <w:outlineLvl w:val="9"/>
        <w:rPr>
          <w:highlight w:val="none"/>
        </w:rPr>
      </w:pPr>
      <w:r>
        <w:rPr>
          <w:rFonts w:hint="eastAsia" w:ascii="宋体" w:hAnsi="宋体" w:cs="宋体"/>
          <w:color w:val="000000"/>
          <w:highlight w:val="none"/>
        </w:rPr>
        <w:t>12.2、制定火灾应急处置预案。</w:t>
      </w:r>
    </w:p>
    <w:p w14:paraId="3D55C79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95"/>
        <w:outlineLvl w:val="9"/>
        <w:rPr>
          <w:highlight w:val="none"/>
        </w:rPr>
      </w:pPr>
      <w:r>
        <w:rPr>
          <w:rFonts w:hint="eastAsia" w:ascii="宋体" w:hAnsi="宋体" w:cs="宋体"/>
          <w:color w:val="000000"/>
          <w:highlight w:val="none"/>
        </w:rPr>
        <w:t>12.3、制定停电、停水应急处置预案。</w:t>
      </w:r>
    </w:p>
    <w:p w14:paraId="27E6C14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95"/>
        <w:outlineLvl w:val="9"/>
        <w:rPr>
          <w:highlight w:val="none"/>
        </w:rPr>
      </w:pPr>
      <w:r>
        <w:rPr>
          <w:rFonts w:hint="eastAsia" w:ascii="宋体" w:hAnsi="宋体" w:cs="宋体"/>
          <w:color w:val="000000"/>
          <w:highlight w:val="none"/>
        </w:rPr>
        <w:t>12.4、制定刑事治安案件应急处置预案。</w:t>
      </w:r>
    </w:p>
    <w:p w14:paraId="64D70F5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95"/>
        <w:outlineLvl w:val="9"/>
        <w:rPr>
          <w:highlight w:val="none"/>
        </w:rPr>
      </w:pPr>
      <w:r>
        <w:rPr>
          <w:rFonts w:hint="eastAsia" w:ascii="宋体" w:hAnsi="宋体" w:cs="宋体"/>
          <w:color w:val="000000"/>
          <w:highlight w:val="none"/>
        </w:rPr>
        <w:t>12.5、制定防洪防汛应急预案。</w:t>
      </w:r>
    </w:p>
    <w:p w14:paraId="3F35AE4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95"/>
        <w:outlineLvl w:val="9"/>
        <w:rPr>
          <w:highlight w:val="none"/>
        </w:rPr>
      </w:pPr>
      <w:r>
        <w:rPr>
          <w:rFonts w:hint="eastAsia" w:ascii="宋体" w:hAnsi="宋体" w:cs="宋体"/>
          <w:color w:val="000000"/>
          <w:highlight w:val="none"/>
        </w:rPr>
        <w:t>12.6、</w:t>
      </w:r>
      <w:r>
        <w:rPr>
          <w:rFonts w:hint="eastAsia" w:ascii="宋体" w:hAnsi="宋体" w:cs="宋体"/>
          <w:highlight w:val="none"/>
        </w:rPr>
        <w:t>制定疫情应急处置预案。</w:t>
      </w:r>
    </w:p>
    <w:p w14:paraId="2235601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95"/>
        <w:outlineLvl w:val="9"/>
        <w:rPr>
          <w:highlight w:val="none"/>
        </w:rPr>
      </w:pPr>
      <w:r>
        <w:rPr>
          <w:rFonts w:hint="eastAsia" w:ascii="宋体" w:hAnsi="宋体" w:cs="宋体"/>
          <w:highlight w:val="none"/>
        </w:rPr>
        <w:t>12.7、其它突发应急预案。</w:t>
      </w:r>
    </w:p>
    <w:p w14:paraId="0EC24FD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Style w:val="16"/>
          <w:rFonts w:hint="eastAsia" w:ascii="宋体" w:hAnsi="宋体" w:cs="宋体"/>
          <w:highlight w:val="none"/>
        </w:rPr>
        <w:t>（三）物业各项目服务标准</w:t>
      </w:r>
    </w:p>
    <w:p w14:paraId="5283EF8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2"/>
        <w:outlineLvl w:val="9"/>
        <w:rPr>
          <w:highlight w:val="none"/>
        </w:rPr>
      </w:pPr>
      <w:r>
        <w:rPr>
          <w:rFonts w:hint="eastAsia" w:ascii="宋体" w:hAnsi="宋体" w:cs="宋体"/>
          <w:highlight w:val="none"/>
        </w:rPr>
        <w:t>1、日常管理服务标准</w:t>
      </w:r>
    </w:p>
    <w:tbl>
      <w:tblPr>
        <w:tblStyle w:val="13"/>
        <w:tblW w:w="9763" w:type="dxa"/>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565"/>
        <w:gridCol w:w="1405"/>
        <w:gridCol w:w="7793"/>
      </w:tblGrid>
      <w:tr w14:paraId="5266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035" w:hRule="atLeast"/>
          <w:tblCellSpacing w:w="15" w:type="dxa"/>
          <w:jc w:val="center"/>
        </w:trPr>
        <w:tc>
          <w:tcPr>
            <w:tcW w:w="520" w:type="dxa"/>
            <w:vMerge w:val="restart"/>
            <w:tcMar>
              <w:bottom w:w="0" w:type="dxa"/>
            </w:tcMar>
            <w:vAlign w:val="center"/>
          </w:tcPr>
          <w:p w14:paraId="2339717A">
            <w:pPr>
              <w:pStyle w:val="10"/>
              <w:keepNext w:val="0"/>
              <w:keepLines w:val="0"/>
              <w:pageBreakBefore w:val="0"/>
              <w:widowControl/>
              <w:kinsoku/>
              <w:overflowPunct/>
              <w:topLinePunct w:val="0"/>
              <w:autoSpaceDN/>
              <w:bidi w:val="0"/>
              <w:adjustRightInd/>
              <w:snapToGrid w:val="0"/>
              <w:spacing w:beforeAutospacing="0" w:afterAutospacing="0" w:line="240" w:lineRule="auto"/>
              <w:ind w:left="240" w:right="0" w:rightChars="0"/>
              <w:jc w:val="center"/>
              <w:outlineLvl w:val="9"/>
              <w:rPr>
                <w:highlight w:val="none"/>
              </w:rPr>
            </w:pPr>
            <w:r>
              <w:rPr>
                <w:rFonts w:hint="eastAsia" w:ascii="宋体" w:hAnsi="宋体" w:cs="宋体"/>
                <w:highlight w:val="none"/>
              </w:rPr>
              <w:t>机</w:t>
            </w:r>
          </w:p>
          <w:p w14:paraId="4EEC01F9">
            <w:pPr>
              <w:pStyle w:val="10"/>
              <w:keepNext w:val="0"/>
              <w:keepLines w:val="0"/>
              <w:pageBreakBefore w:val="0"/>
              <w:widowControl/>
              <w:kinsoku/>
              <w:overflowPunct/>
              <w:topLinePunct w:val="0"/>
              <w:autoSpaceDN/>
              <w:bidi w:val="0"/>
              <w:adjustRightInd/>
              <w:snapToGrid w:val="0"/>
              <w:spacing w:beforeAutospacing="0" w:afterAutospacing="0" w:line="240" w:lineRule="auto"/>
              <w:ind w:left="240" w:right="0" w:rightChars="0"/>
              <w:jc w:val="center"/>
              <w:outlineLvl w:val="9"/>
              <w:rPr>
                <w:highlight w:val="none"/>
              </w:rPr>
            </w:pPr>
            <w:r>
              <w:rPr>
                <w:rFonts w:hint="eastAsia" w:ascii="宋体" w:hAnsi="宋体" w:cs="宋体"/>
                <w:highlight w:val="none"/>
              </w:rPr>
              <w:t>构</w:t>
            </w:r>
          </w:p>
          <w:p w14:paraId="275FB39D">
            <w:pPr>
              <w:pStyle w:val="10"/>
              <w:keepNext w:val="0"/>
              <w:keepLines w:val="0"/>
              <w:pageBreakBefore w:val="0"/>
              <w:widowControl/>
              <w:kinsoku/>
              <w:overflowPunct/>
              <w:topLinePunct w:val="0"/>
              <w:autoSpaceDN/>
              <w:bidi w:val="0"/>
              <w:adjustRightInd/>
              <w:snapToGrid w:val="0"/>
              <w:spacing w:beforeAutospacing="0" w:afterAutospacing="0" w:line="240" w:lineRule="auto"/>
              <w:ind w:left="240" w:right="0" w:rightChars="0"/>
              <w:jc w:val="center"/>
              <w:outlineLvl w:val="9"/>
              <w:rPr>
                <w:highlight w:val="none"/>
              </w:rPr>
            </w:pPr>
            <w:r>
              <w:rPr>
                <w:rFonts w:hint="eastAsia" w:ascii="宋体" w:hAnsi="宋体" w:cs="宋体"/>
                <w:highlight w:val="none"/>
              </w:rPr>
              <w:t>设</w:t>
            </w:r>
          </w:p>
          <w:p w14:paraId="1C90B428">
            <w:pPr>
              <w:pStyle w:val="10"/>
              <w:keepNext w:val="0"/>
              <w:keepLines w:val="0"/>
              <w:pageBreakBefore w:val="0"/>
              <w:widowControl/>
              <w:kinsoku/>
              <w:overflowPunct/>
              <w:topLinePunct w:val="0"/>
              <w:autoSpaceDN/>
              <w:bidi w:val="0"/>
              <w:adjustRightInd/>
              <w:snapToGrid w:val="0"/>
              <w:spacing w:beforeAutospacing="0" w:afterAutospacing="0" w:line="240" w:lineRule="auto"/>
              <w:ind w:left="240" w:right="0" w:rightChars="0"/>
              <w:jc w:val="center"/>
              <w:outlineLvl w:val="9"/>
              <w:rPr>
                <w:highlight w:val="none"/>
              </w:rPr>
            </w:pPr>
            <w:r>
              <w:rPr>
                <w:rFonts w:hint="eastAsia" w:ascii="宋体" w:hAnsi="宋体" w:cs="宋体"/>
                <w:highlight w:val="none"/>
              </w:rPr>
              <w:t>置</w:t>
            </w:r>
          </w:p>
        </w:tc>
        <w:tc>
          <w:tcPr>
            <w:tcW w:w="1375" w:type="dxa"/>
            <w:tcMar>
              <w:bottom w:w="0" w:type="dxa"/>
            </w:tcMar>
            <w:vAlign w:val="center"/>
          </w:tcPr>
          <w:p w14:paraId="5248C04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highlight w:val="none"/>
              </w:rPr>
            </w:pPr>
            <w:r>
              <w:rPr>
                <w:rFonts w:hint="eastAsia" w:ascii="宋体" w:hAnsi="宋体" w:cs="宋体"/>
                <w:highlight w:val="none"/>
              </w:rPr>
              <w:t>人员</w:t>
            </w:r>
          </w:p>
          <w:p w14:paraId="25E3269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素质</w:t>
            </w:r>
          </w:p>
        </w:tc>
        <w:tc>
          <w:tcPr>
            <w:tcW w:w="7748" w:type="dxa"/>
            <w:tcMar>
              <w:bottom w:w="0" w:type="dxa"/>
            </w:tcMar>
            <w:vAlign w:val="center"/>
          </w:tcPr>
          <w:p w14:paraId="60A76FC5">
            <w:pPr>
              <w:pStyle w:val="10"/>
              <w:keepNext w:val="0"/>
              <w:keepLines w:val="0"/>
              <w:pageBreakBefore w:val="0"/>
              <w:widowControl/>
              <w:kinsoku/>
              <w:wordWrap w:val="0"/>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（1）项目负责人应熟悉物业管理相关法规及古建相关维护知识，并能规范组织管理服务工作。</w:t>
            </w:r>
          </w:p>
          <w:p w14:paraId="73BBA0EC">
            <w:pPr>
              <w:pStyle w:val="10"/>
              <w:keepNext w:val="0"/>
              <w:keepLines w:val="0"/>
              <w:pageBreakBefore w:val="0"/>
              <w:widowControl/>
              <w:kinsoku/>
              <w:wordWrap w:val="0"/>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（2）项目负责人和管理人员有经从业机构培训获取的上岗证，统一着装，挂牌上岗，仪表整洁规范。</w:t>
            </w:r>
          </w:p>
          <w:p w14:paraId="04286A67">
            <w:pPr>
              <w:pStyle w:val="10"/>
              <w:keepNext w:val="0"/>
              <w:keepLines w:val="0"/>
              <w:pageBreakBefore w:val="0"/>
              <w:widowControl/>
              <w:kinsoku/>
              <w:wordWrap w:val="0"/>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（3）安保负责人能熟练掌握各类刑事、治安案件和各类灾害事故处理的应急预案，并能有效组织实施。</w:t>
            </w:r>
          </w:p>
          <w:p w14:paraId="48546C9B">
            <w:pPr>
              <w:pStyle w:val="10"/>
              <w:keepNext w:val="0"/>
              <w:keepLines w:val="0"/>
              <w:pageBreakBefore w:val="0"/>
              <w:widowControl/>
              <w:kinsoku/>
              <w:wordWrap w:val="0"/>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 xml:space="preserve">（4）技术作业人员按照有关规定取得岗位证书，挂牌上岗。 </w:t>
            </w:r>
          </w:p>
        </w:tc>
      </w:tr>
      <w:tr w14:paraId="225D1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465" w:hRule="atLeast"/>
          <w:tblCellSpacing w:w="15" w:type="dxa"/>
          <w:jc w:val="center"/>
        </w:trPr>
        <w:tc>
          <w:tcPr>
            <w:tcW w:w="520" w:type="dxa"/>
            <w:vMerge w:val="continue"/>
            <w:tcMar>
              <w:bottom w:w="0" w:type="dxa"/>
            </w:tcMar>
            <w:vAlign w:val="center"/>
          </w:tcPr>
          <w:p w14:paraId="6B754DCD">
            <w:pPr>
              <w:keepNext w:val="0"/>
              <w:keepLines w:val="0"/>
              <w:pageBreakBefore w:val="0"/>
              <w:kinsoku/>
              <w:overflowPunct/>
              <w:topLinePunct w:val="0"/>
              <w:autoSpaceDN/>
              <w:bidi w:val="0"/>
              <w:adjustRightInd/>
              <w:snapToGrid w:val="0"/>
              <w:spacing w:beforeAutospacing="0" w:afterAutospacing="0" w:line="240" w:lineRule="auto"/>
              <w:ind w:right="0" w:rightChars="0"/>
              <w:jc w:val="center"/>
              <w:outlineLvl w:val="9"/>
              <w:rPr>
                <w:rFonts w:ascii="宋体"/>
                <w:sz w:val="24"/>
                <w:szCs w:val="24"/>
                <w:highlight w:val="none"/>
              </w:rPr>
            </w:pPr>
          </w:p>
        </w:tc>
        <w:tc>
          <w:tcPr>
            <w:tcW w:w="1375" w:type="dxa"/>
            <w:tcMar>
              <w:bottom w:w="0" w:type="dxa"/>
            </w:tcMar>
            <w:vAlign w:val="center"/>
          </w:tcPr>
          <w:p w14:paraId="3B67D31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rFonts w:ascii="宋体" w:hAnsi="宋体" w:cs="宋体"/>
                <w:highlight w:val="none"/>
              </w:rPr>
            </w:pPr>
            <w:r>
              <w:rPr>
                <w:rFonts w:hint="eastAsia" w:ascii="宋体" w:hAnsi="宋体" w:cs="宋体"/>
                <w:highlight w:val="none"/>
              </w:rPr>
              <w:t>服务</w:t>
            </w:r>
          </w:p>
          <w:p w14:paraId="6343C96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时间</w:t>
            </w:r>
          </w:p>
        </w:tc>
        <w:tc>
          <w:tcPr>
            <w:tcW w:w="7748" w:type="dxa"/>
            <w:tcMar>
              <w:bottom w:w="0" w:type="dxa"/>
            </w:tcMar>
            <w:vAlign w:val="center"/>
          </w:tcPr>
          <w:p w14:paraId="563DA61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保安人员24小时正常运转，保洁及其他人员每天至少8小时工作。</w:t>
            </w:r>
          </w:p>
        </w:tc>
      </w:tr>
      <w:tr w14:paraId="28753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525" w:hRule="atLeast"/>
          <w:tblCellSpacing w:w="15" w:type="dxa"/>
          <w:jc w:val="center"/>
        </w:trPr>
        <w:tc>
          <w:tcPr>
            <w:tcW w:w="520" w:type="dxa"/>
            <w:vMerge w:val="restart"/>
            <w:tcMar>
              <w:bottom w:w="0" w:type="dxa"/>
            </w:tcMar>
            <w:vAlign w:val="center"/>
          </w:tcPr>
          <w:p w14:paraId="0B6EE1E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日</w:t>
            </w:r>
          </w:p>
          <w:p w14:paraId="218334BF">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常</w:t>
            </w:r>
          </w:p>
          <w:p w14:paraId="68C0E36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管</w:t>
            </w:r>
          </w:p>
          <w:p w14:paraId="388286E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理</w:t>
            </w:r>
          </w:p>
          <w:p w14:paraId="02EB5E1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与</w:t>
            </w:r>
          </w:p>
          <w:p w14:paraId="3ED9BB6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服</w:t>
            </w:r>
          </w:p>
          <w:p w14:paraId="5DA3DE3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务</w:t>
            </w:r>
          </w:p>
        </w:tc>
        <w:tc>
          <w:tcPr>
            <w:tcW w:w="1375" w:type="dxa"/>
            <w:tcMar>
              <w:bottom w:w="0" w:type="dxa"/>
            </w:tcMar>
            <w:vAlign w:val="center"/>
          </w:tcPr>
          <w:p w14:paraId="6DB6D33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工作计划</w:t>
            </w:r>
          </w:p>
        </w:tc>
        <w:tc>
          <w:tcPr>
            <w:tcW w:w="7748" w:type="dxa"/>
            <w:tcMar>
              <w:bottom w:w="0" w:type="dxa"/>
            </w:tcMar>
            <w:vAlign w:val="center"/>
          </w:tcPr>
          <w:p w14:paraId="7B47441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制定物业管理与物业服务工作计划并组织实施，每季度向招标人报告一次计划实施情况。</w:t>
            </w:r>
          </w:p>
        </w:tc>
      </w:tr>
      <w:tr w14:paraId="4BD2C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510" w:hRule="atLeast"/>
          <w:tblCellSpacing w:w="15" w:type="dxa"/>
          <w:jc w:val="center"/>
        </w:trPr>
        <w:tc>
          <w:tcPr>
            <w:tcW w:w="520" w:type="dxa"/>
            <w:vMerge w:val="continue"/>
            <w:tcMar>
              <w:bottom w:w="0" w:type="dxa"/>
            </w:tcMar>
            <w:vAlign w:val="center"/>
          </w:tcPr>
          <w:p w14:paraId="136FBA53">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2CDAB3F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服务规范</w:t>
            </w:r>
          </w:p>
        </w:tc>
        <w:tc>
          <w:tcPr>
            <w:tcW w:w="7748" w:type="dxa"/>
            <w:tcMar>
              <w:bottom w:w="0" w:type="dxa"/>
            </w:tcMar>
            <w:vAlign w:val="center"/>
          </w:tcPr>
          <w:p w14:paraId="0D68AB6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服务规范应符合《莆田市物业管理行业标准》要求。</w:t>
            </w:r>
          </w:p>
        </w:tc>
      </w:tr>
      <w:tr w14:paraId="7E3C4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810" w:hRule="atLeast"/>
          <w:tblCellSpacing w:w="15" w:type="dxa"/>
          <w:jc w:val="center"/>
        </w:trPr>
        <w:tc>
          <w:tcPr>
            <w:tcW w:w="520" w:type="dxa"/>
            <w:vMerge w:val="continue"/>
            <w:tcMar>
              <w:bottom w:w="0" w:type="dxa"/>
            </w:tcMar>
            <w:vAlign w:val="center"/>
          </w:tcPr>
          <w:p w14:paraId="6B8694CC">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22753A7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管理制度</w:t>
            </w:r>
          </w:p>
        </w:tc>
        <w:tc>
          <w:tcPr>
            <w:tcW w:w="7748" w:type="dxa"/>
            <w:tcMar>
              <w:bottom w:w="0" w:type="dxa"/>
            </w:tcMar>
            <w:vAlign w:val="center"/>
          </w:tcPr>
          <w:p w14:paraId="20D6875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（1）有明确的值班制度和交接班制度，工作有记录。</w:t>
            </w:r>
          </w:p>
          <w:p w14:paraId="104F5EB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（2）制定物业内部管理制度、考核制度和培训制度。</w:t>
            </w:r>
          </w:p>
        </w:tc>
      </w:tr>
      <w:tr w14:paraId="3BD1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750" w:hRule="atLeast"/>
          <w:tblCellSpacing w:w="15" w:type="dxa"/>
          <w:jc w:val="center"/>
        </w:trPr>
        <w:tc>
          <w:tcPr>
            <w:tcW w:w="520" w:type="dxa"/>
            <w:vMerge w:val="continue"/>
            <w:tcMar>
              <w:bottom w:w="0" w:type="dxa"/>
            </w:tcMar>
            <w:vAlign w:val="center"/>
          </w:tcPr>
          <w:p w14:paraId="14C701E0">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35936DA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制度公示</w:t>
            </w:r>
          </w:p>
        </w:tc>
        <w:tc>
          <w:tcPr>
            <w:tcW w:w="7748" w:type="dxa"/>
            <w:tcMar>
              <w:bottom w:w="0" w:type="dxa"/>
            </w:tcMar>
            <w:vAlign w:val="center"/>
          </w:tcPr>
          <w:p w14:paraId="2C95532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 xml:space="preserve">服务场所公示办事制度、办事规章、服务标准、急修服务内容、投诉渠道。 </w:t>
            </w:r>
          </w:p>
        </w:tc>
      </w:tr>
      <w:tr w14:paraId="56F6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035" w:hRule="atLeast"/>
          <w:tblCellSpacing w:w="15" w:type="dxa"/>
          <w:jc w:val="center"/>
        </w:trPr>
        <w:tc>
          <w:tcPr>
            <w:tcW w:w="520" w:type="dxa"/>
            <w:vMerge w:val="continue"/>
            <w:tcMar>
              <w:bottom w:w="0" w:type="dxa"/>
            </w:tcMar>
            <w:vAlign w:val="center"/>
          </w:tcPr>
          <w:p w14:paraId="3F2CCCDF">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054673D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报修受理</w:t>
            </w:r>
          </w:p>
        </w:tc>
        <w:tc>
          <w:tcPr>
            <w:tcW w:w="7748" w:type="dxa"/>
            <w:tcMar>
              <w:bottom w:w="0" w:type="dxa"/>
            </w:tcMar>
            <w:vAlign w:val="center"/>
          </w:tcPr>
          <w:p w14:paraId="2631527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24小时受理报修。接到任何报修要求15分钟内到达现场处理（预约除外）。急修一小时内修复。有完整的报修、维修和回访记录。服务时限不得因节假日和休息时间顺延。</w:t>
            </w:r>
          </w:p>
        </w:tc>
      </w:tr>
      <w:tr w14:paraId="5BCDE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495" w:hRule="atLeast"/>
          <w:tblCellSpacing w:w="15" w:type="dxa"/>
          <w:jc w:val="center"/>
        </w:trPr>
        <w:tc>
          <w:tcPr>
            <w:tcW w:w="520" w:type="dxa"/>
            <w:vMerge w:val="continue"/>
            <w:tcMar>
              <w:bottom w:w="0" w:type="dxa"/>
            </w:tcMar>
            <w:vAlign w:val="center"/>
          </w:tcPr>
          <w:p w14:paraId="29436F6C">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1DFF528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财务收支</w:t>
            </w:r>
          </w:p>
        </w:tc>
        <w:tc>
          <w:tcPr>
            <w:tcW w:w="7748" w:type="dxa"/>
            <w:tcMar>
              <w:bottom w:w="0" w:type="dxa"/>
            </w:tcMar>
            <w:vAlign w:val="center"/>
          </w:tcPr>
          <w:p w14:paraId="457DF8CD">
            <w:pPr>
              <w:pStyle w:val="10"/>
              <w:keepNext w:val="0"/>
              <w:keepLines w:val="0"/>
              <w:pageBreakBefore w:val="0"/>
              <w:widowControl/>
              <w:kinsoku/>
              <w:wordWrap w:val="0"/>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财务收支、人员工资发放情况每半年向招标人报告一次。</w:t>
            </w:r>
          </w:p>
        </w:tc>
      </w:tr>
      <w:tr w14:paraId="391E2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795" w:hRule="atLeast"/>
          <w:tblCellSpacing w:w="15" w:type="dxa"/>
          <w:jc w:val="center"/>
        </w:trPr>
        <w:tc>
          <w:tcPr>
            <w:tcW w:w="520" w:type="dxa"/>
            <w:vMerge w:val="continue"/>
            <w:tcMar>
              <w:bottom w:w="0" w:type="dxa"/>
            </w:tcMar>
            <w:vAlign w:val="center"/>
          </w:tcPr>
          <w:p w14:paraId="008CE0A0">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0E125C3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档案管理</w:t>
            </w:r>
          </w:p>
        </w:tc>
        <w:tc>
          <w:tcPr>
            <w:tcW w:w="7748" w:type="dxa"/>
            <w:tcMar>
              <w:bottom w:w="0" w:type="dxa"/>
            </w:tcMar>
            <w:vAlign w:val="center"/>
          </w:tcPr>
          <w:p w14:paraId="4D15ED07">
            <w:pPr>
              <w:pStyle w:val="10"/>
              <w:keepNext w:val="0"/>
              <w:keepLines w:val="0"/>
              <w:pageBreakBefore w:val="0"/>
              <w:widowControl/>
              <w:kinsoku/>
              <w:wordWrap w:val="0"/>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建立档案管理制度，建立健全物业管理档案 、设备管理档案、日常管理档案等。</w:t>
            </w:r>
          </w:p>
        </w:tc>
      </w:tr>
      <w:tr w14:paraId="0AB6B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765" w:hRule="atLeast"/>
          <w:tblCellSpacing w:w="15" w:type="dxa"/>
          <w:jc w:val="center"/>
        </w:trPr>
        <w:tc>
          <w:tcPr>
            <w:tcW w:w="520" w:type="dxa"/>
            <w:vMerge w:val="continue"/>
            <w:tcMar>
              <w:bottom w:w="0" w:type="dxa"/>
            </w:tcMar>
            <w:vAlign w:val="center"/>
          </w:tcPr>
          <w:p w14:paraId="1DB206CE">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1ED0DFC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财务管理</w:t>
            </w:r>
          </w:p>
        </w:tc>
        <w:tc>
          <w:tcPr>
            <w:tcW w:w="7748" w:type="dxa"/>
            <w:tcMar>
              <w:bottom w:w="0" w:type="dxa"/>
            </w:tcMar>
            <w:vAlign w:val="center"/>
          </w:tcPr>
          <w:p w14:paraId="1E4980F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建立健全的财务管理制度，对物业服务费和其它费用的收支进行财务管理，做到运作规范，账目清晰。</w:t>
            </w:r>
          </w:p>
        </w:tc>
      </w:tr>
      <w:tr w14:paraId="27F7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525" w:hRule="atLeast"/>
          <w:tblCellSpacing w:w="15" w:type="dxa"/>
          <w:jc w:val="center"/>
        </w:trPr>
        <w:tc>
          <w:tcPr>
            <w:tcW w:w="520" w:type="dxa"/>
            <w:vMerge w:val="continue"/>
            <w:tcMar>
              <w:bottom w:w="0" w:type="dxa"/>
            </w:tcMar>
            <w:vAlign w:val="center"/>
          </w:tcPr>
          <w:p w14:paraId="3EF0DD89">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5A7382D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接管项目</w:t>
            </w:r>
          </w:p>
        </w:tc>
        <w:tc>
          <w:tcPr>
            <w:tcW w:w="7748" w:type="dxa"/>
            <w:tcMar>
              <w:bottom w:w="0" w:type="dxa"/>
            </w:tcMar>
            <w:vAlign w:val="center"/>
          </w:tcPr>
          <w:p w14:paraId="2E03DE0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承接项目时，对公共部位、设施设备进行查验。</w:t>
            </w:r>
          </w:p>
        </w:tc>
      </w:tr>
      <w:tr w14:paraId="3048C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495" w:hRule="atLeast"/>
          <w:tblCellSpacing w:w="15" w:type="dxa"/>
          <w:jc w:val="center"/>
        </w:trPr>
        <w:tc>
          <w:tcPr>
            <w:tcW w:w="520" w:type="dxa"/>
            <w:vMerge w:val="continue"/>
            <w:tcMar>
              <w:bottom w:w="0" w:type="dxa"/>
            </w:tcMar>
            <w:vAlign w:val="center"/>
          </w:tcPr>
          <w:p w14:paraId="6E65CF71">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01B7862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办公自动化</w:t>
            </w:r>
          </w:p>
        </w:tc>
        <w:tc>
          <w:tcPr>
            <w:tcW w:w="7748" w:type="dxa"/>
            <w:tcMar>
              <w:bottom w:w="0" w:type="dxa"/>
            </w:tcMar>
            <w:vAlign w:val="center"/>
          </w:tcPr>
          <w:p w14:paraId="1F66FF0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运用计算机进行管理（含人员档案、安全管理记录档案、设备管理档案等）。</w:t>
            </w:r>
          </w:p>
        </w:tc>
      </w:tr>
      <w:tr w14:paraId="00729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435" w:hRule="atLeast"/>
          <w:tblCellSpacing w:w="15" w:type="dxa"/>
          <w:jc w:val="center"/>
        </w:trPr>
        <w:tc>
          <w:tcPr>
            <w:tcW w:w="520" w:type="dxa"/>
            <w:vMerge w:val="continue"/>
            <w:tcMar>
              <w:bottom w:w="0" w:type="dxa"/>
            </w:tcMar>
            <w:vAlign w:val="center"/>
          </w:tcPr>
          <w:p w14:paraId="516689F3">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1375" w:type="dxa"/>
            <w:tcMar>
              <w:bottom w:w="0" w:type="dxa"/>
            </w:tcMar>
            <w:vAlign w:val="center"/>
          </w:tcPr>
          <w:p w14:paraId="646F491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其他</w:t>
            </w:r>
          </w:p>
        </w:tc>
        <w:tc>
          <w:tcPr>
            <w:tcW w:w="7748" w:type="dxa"/>
            <w:tcMar>
              <w:bottom w:w="0" w:type="dxa"/>
            </w:tcMar>
            <w:vAlign w:val="center"/>
          </w:tcPr>
          <w:p w14:paraId="650C1D4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综合管理的其它服务项目达到约定的服务标准。</w:t>
            </w:r>
          </w:p>
        </w:tc>
      </w:tr>
    </w:tbl>
    <w:p w14:paraId="6A0E993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2"/>
        <w:outlineLvl w:val="9"/>
        <w:rPr>
          <w:highlight w:val="none"/>
        </w:rPr>
      </w:pPr>
      <w:r>
        <w:rPr>
          <w:rFonts w:hint="eastAsia" w:ascii="宋体" w:hAnsi="宋体" w:cs="宋体"/>
          <w:highlight w:val="none"/>
        </w:rPr>
        <w:t>2、公共秩序管理标准</w:t>
      </w:r>
    </w:p>
    <w:tbl>
      <w:tblPr>
        <w:tblStyle w:val="13"/>
        <w:tblW w:w="9743" w:type="dxa"/>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482"/>
        <w:gridCol w:w="972"/>
        <w:gridCol w:w="8289"/>
      </w:tblGrid>
      <w:tr w14:paraId="610CE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690" w:hRule="atLeast"/>
          <w:tblCellSpacing w:w="15" w:type="dxa"/>
          <w:jc w:val="center"/>
        </w:trPr>
        <w:tc>
          <w:tcPr>
            <w:tcW w:w="437" w:type="dxa"/>
            <w:vMerge w:val="restart"/>
            <w:tcMar>
              <w:top w:w="0" w:type="dxa"/>
              <w:left w:w="105" w:type="dxa"/>
              <w:bottom w:w="0" w:type="dxa"/>
              <w:right w:w="105" w:type="dxa"/>
            </w:tcMar>
            <w:vAlign w:val="center"/>
          </w:tcPr>
          <w:p w14:paraId="3573E1E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人</w:t>
            </w:r>
          </w:p>
          <w:p w14:paraId="5815B45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员</w:t>
            </w:r>
          </w:p>
          <w:p w14:paraId="04D3F48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要</w:t>
            </w:r>
          </w:p>
          <w:p w14:paraId="7B51724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求</w:t>
            </w:r>
          </w:p>
        </w:tc>
        <w:tc>
          <w:tcPr>
            <w:tcW w:w="942" w:type="dxa"/>
            <w:tcMar>
              <w:top w:w="0" w:type="dxa"/>
              <w:left w:w="105" w:type="dxa"/>
              <w:bottom w:w="0" w:type="dxa"/>
              <w:right w:w="105" w:type="dxa"/>
            </w:tcMar>
            <w:vAlign w:val="center"/>
          </w:tcPr>
          <w:p w14:paraId="1014566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人员配备</w:t>
            </w:r>
          </w:p>
        </w:tc>
        <w:tc>
          <w:tcPr>
            <w:tcW w:w="8244" w:type="dxa"/>
            <w:tcMar>
              <w:top w:w="0" w:type="dxa"/>
              <w:left w:w="105" w:type="dxa"/>
              <w:bottom w:w="0" w:type="dxa"/>
              <w:right w:w="105" w:type="dxa"/>
            </w:tcMar>
            <w:vAlign w:val="center"/>
          </w:tcPr>
          <w:p w14:paraId="74C3BB7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安全保卫人员以中青年为主，身体健康，工作认真负责，并定期接受培训。</w:t>
            </w:r>
          </w:p>
        </w:tc>
      </w:tr>
      <w:tr w14:paraId="5EBB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345" w:hRule="atLeast"/>
          <w:tblCellSpacing w:w="15" w:type="dxa"/>
          <w:jc w:val="center"/>
        </w:trPr>
        <w:tc>
          <w:tcPr>
            <w:tcW w:w="437" w:type="dxa"/>
            <w:vMerge w:val="continue"/>
            <w:tcMar>
              <w:top w:w="0" w:type="dxa"/>
              <w:left w:w="105" w:type="dxa"/>
              <w:bottom w:w="0" w:type="dxa"/>
              <w:right w:w="105" w:type="dxa"/>
            </w:tcMar>
            <w:vAlign w:val="center"/>
          </w:tcPr>
          <w:p w14:paraId="0A7F5698">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942" w:type="dxa"/>
            <w:tcMar>
              <w:top w:w="0" w:type="dxa"/>
              <w:left w:w="105" w:type="dxa"/>
              <w:bottom w:w="0" w:type="dxa"/>
              <w:right w:w="105" w:type="dxa"/>
            </w:tcMar>
            <w:vAlign w:val="center"/>
          </w:tcPr>
          <w:p w14:paraId="05245193">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技能训练</w:t>
            </w:r>
          </w:p>
        </w:tc>
        <w:tc>
          <w:tcPr>
            <w:tcW w:w="8244" w:type="dxa"/>
            <w:tcMar>
              <w:top w:w="0" w:type="dxa"/>
              <w:left w:w="105" w:type="dxa"/>
              <w:bottom w:w="0" w:type="dxa"/>
              <w:right w:w="105" w:type="dxa"/>
            </w:tcMar>
            <w:vAlign w:val="center"/>
          </w:tcPr>
          <w:p w14:paraId="64B056C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安全保卫人员接受过安全技能训练（专项培训、岗中持续培训）的比例为100%。</w:t>
            </w:r>
          </w:p>
        </w:tc>
      </w:tr>
      <w:tr w14:paraId="71D57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975" w:hRule="atLeast"/>
          <w:tblCellSpacing w:w="15" w:type="dxa"/>
          <w:jc w:val="center"/>
        </w:trPr>
        <w:tc>
          <w:tcPr>
            <w:tcW w:w="437" w:type="dxa"/>
            <w:vMerge w:val="continue"/>
            <w:tcMar>
              <w:top w:w="0" w:type="dxa"/>
              <w:left w:w="105" w:type="dxa"/>
              <w:bottom w:w="0" w:type="dxa"/>
              <w:right w:w="105" w:type="dxa"/>
            </w:tcMar>
            <w:vAlign w:val="center"/>
          </w:tcPr>
          <w:p w14:paraId="63DC08E2">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942" w:type="dxa"/>
            <w:tcMar>
              <w:top w:w="0" w:type="dxa"/>
              <w:left w:w="105" w:type="dxa"/>
              <w:bottom w:w="0" w:type="dxa"/>
              <w:right w:w="105" w:type="dxa"/>
            </w:tcMar>
            <w:vAlign w:val="center"/>
          </w:tcPr>
          <w:p w14:paraId="559F2AB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技能水平</w:t>
            </w:r>
          </w:p>
        </w:tc>
        <w:tc>
          <w:tcPr>
            <w:tcW w:w="8244" w:type="dxa"/>
            <w:tcMar>
              <w:top w:w="0" w:type="dxa"/>
              <w:left w:w="105" w:type="dxa"/>
              <w:bottom w:w="0" w:type="dxa"/>
              <w:right w:w="105" w:type="dxa"/>
            </w:tcMar>
            <w:vAlign w:val="center"/>
          </w:tcPr>
          <w:p w14:paraId="0C71EEF4">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能正确使用各类消防、物防、技防器械和设备，熟悉项目环境，熟知治安管理有关法律法规。熟悉各类刑事、治安案件和各类灾害事故处理的应急预案。</w:t>
            </w:r>
          </w:p>
        </w:tc>
      </w:tr>
      <w:tr w14:paraId="08B20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735" w:hRule="atLeast"/>
          <w:tblCellSpacing w:w="15" w:type="dxa"/>
          <w:jc w:val="center"/>
        </w:trPr>
        <w:tc>
          <w:tcPr>
            <w:tcW w:w="437" w:type="dxa"/>
            <w:vMerge w:val="continue"/>
            <w:tcMar>
              <w:top w:w="0" w:type="dxa"/>
              <w:left w:w="105" w:type="dxa"/>
              <w:bottom w:w="0" w:type="dxa"/>
              <w:right w:w="105" w:type="dxa"/>
            </w:tcMar>
            <w:vAlign w:val="center"/>
          </w:tcPr>
          <w:p w14:paraId="51B35B06">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942" w:type="dxa"/>
            <w:tcMar>
              <w:top w:w="0" w:type="dxa"/>
              <w:left w:w="105" w:type="dxa"/>
              <w:bottom w:w="0" w:type="dxa"/>
              <w:right w:w="105" w:type="dxa"/>
            </w:tcMar>
            <w:vAlign w:val="center"/>
          </w:tcPr>
          <w:p w14:paraId="2C7BB2C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服装仪容</w:t>
            </w:r>
          </w:p>
        </w:tc>
        <w:tc>
          <w:tcPr>
            <w:tcW w:w="8244" w:type="dxa"/>
            <w:tcMar>
              <w:top w:w="0" w:type="dxa"/>
              <w:left w:w="105" w:type="dxa"/>
              <w:bottom w:w="0" w:type="dxa"/>
              <w:right w:w="105" w:type="dxa"/>
            </w:tcMar>
            <w:vAlign w:val="center"/>
          </w:tcPr>
          <w:p w14:paraId="0C8D26F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上岗时统一着装、佩戴统一标志，装备佩戴规范，仪容仪表规范整齐，上岗时精神饱满，姿态良好，动作规范。</w:t>
            </w:r>
          </w:p>
        </w:tc>
      </w:tr>
      <w:tr w14:paraId="2ABC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480" w:hRule="atLeast"/>
          <w:tblCellSpacing w:w="15" w:type="dxa"/>
          <w:jc w:val="center"/>
        </w:trPr>
        <w:tc>
          <w:tcPr>
            <w:tcW w:w="437" w:type="dxa"/>
            <w:vMerge w:val="continue"/>
            <w:tcMar>
              <w:top w:w="0" w:type="dxa"/>
              <w:left w:w="105" w:type="dxa"/>
              <w:bottom w:w="0" w:type="dxa"/>
              <w:right w:w="105" w:type="dxa"/>
            </w:tcMar>
            <w:vAlign w:val="center"/>
          </w:tcPr>
          <w:p w14:paraId="477CDED1">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942" w:type="dxa"/>
            <w:tcMar>
              <w:top w:w="0" w:type="dxa"/>
              <w:left w:w="105" w:type="dxa"/>
              <w:bottom w:w="0" w:type="dxa"/>
              <w:right w:w="105" w:type="dxa"/>
            </w:tcMar>
            <w:vAlign w:val="center"/>
          </w:tcPr>
          <w:p w14:paraId="1017648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器械配备</w:t>
            </w:r>
          </w:p>
        </w:tc>
        <w:tc>
          <w:tcPr>
            <w:tcW w:w="8244" w:type="dxa"/>
            <w:tcMar>
              <w:top w:w="0" w:type="dxa"/>
              <w:left w:w="105" w:type="dxa"/>
              <w:bottom w:w="0" w:type="dxa"/>
              <w:right w:w="105" w:type="dxa"/>
            </w:tcMar>
            <w:vAlign w:val="center"/>
          </w:tcPr>
          <w:p w14:paraId="6912BE1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配备对讲装置和其他必备的安全保卫器械。</w:t>
            </w:r>
          </w:p>
        </w:tc>
      </w:tr>
      <w:tr w14:paraId="1321D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050" w:hRule="atLeast"/>
          <w:tblCellSpacing w:w="15" w:type="dxa"/>
          <w:jc w:val="center"/>
        </w:trPr>
        <w:tc>
          <w:tcPr>
            <w:tcW w:w="437" w:type="dxa"/>
            <w:vMerge w:val="restart"/>
            <w:tcMar>
              <w:top w:w="0" w:type="dxa"/>
              <w:left w:w="105" w:type="dxa"/>
              <w:bottom w:w="0" w:type="dxa"/>
              <w:right w:w="105" w:type="dxa"/>
            </w:tcMar>
            <w:vAlign w:val="center"/>
          </w:tcPr>
          <w:p w14:paraId="1B3EABB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门</w:t>
            </w:r>
          </w:p>
          <w:p w14:paraId="1BFC2F2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岗</w:t>
            </w:r>
          </w:p>
        </w:tc>
        <w:tc>
          <w:tcPr>
            <w:tcW w:w="942" w:type="dxa"/>
            <w:tcMar>
              <w:top w:w="0" w:type="dxa"/>
              <w:left w:w="105" w:type="dxa"/>
              <w:bottom w:w="0" w:type="dxa"/>
              <w:right w:w="105" w:type="dxa"/>
            </w:tcMar>
            <w:vAlign w:val="center"/>
          </w:tcPr>
          <w:p w14:paraId="51E8677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出入口值守</w:t>
            </w:r>
          </w:p>
        </w:tc>
        <w:tc>
          <w:tcPr>
            <w:tcW w:w="8244" w:type="dxa"/>
            <w:tcMar>
              <w:top w:w="0" w:type="dxa"/>
              <w:left w:w="105" w:type="dxa"/>
              <w:bottom w:w="0" w:type="dxa"/>
              <w:right w:w="105" w:type="dxa"/>
            </w:tcMar>
            <w:vAlign w:val="center"/>
          </w:tcPr>
          <w:p w14:paraId="74A9EC4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rFonts w:ascii="宋体" w:hAnsi="宋体" w:cs="宋体"/>
                <w:highlight w:val="none"/>
              </w:rPr>
            </w:pPr>
            <w:r>
              <w:rPr>
                <w:rFonts w:hint="eastAsia" w:ascii="宋体" w:hAnsi="宋体" w:cs="宋体"/>
                <w:highlight w:val="none"/>
              </w:rPr>
              <w:t>各出入口严格按规定时间值守，并有详细交接班记录和外来车辆、人员的登记记录。</w:t>
            </w:r>
          </w:p>
          <w:p w14:paraId="3154902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具有形象岗、检查岗、登记岗</w:t>
            </w:r>
          </w:p>
        </w:tc>
      </w:tr>
      <w:tr w14:paraId="09D48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585" w:hRule="atLeast"/>
          <w:tblCellSpacing w:w="15" w:type="dxa"/>
          <w:jc w:val="center"/>
        </w:trPr>
        <w:tc>
          <w:tcPr>
            <w:tcW w:w="437" w:type="dxa"/>
            <w:vMerge w:val="continue"/>
            <w:tcMar>
              <w:top w:w="0" w:type="dxa"/>
              <w:left w:w="105" w:type="dxa"/>
              <w:bottom w:w="0" w:type="dxa"/>
              <w:right w:w="105" w:type="dxa"/>
            </w:tcMar>
            <w:vAlign w:val="center"/>
          </w:tcPr>
          <w:p w14:paraId="1C3BEDE3">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942" w:type="dxa"/>
            <w:tcMar>
              <w:top w:w="0" w:type="dxa"/>
              <w:left w:w="105" w:type="dxa"/>
              <w:bottom w:w="0" w:type="dxa"/>
              <w:right w:w="105" w:type="dxa"/>
            </w:tcMar>
            <w:vAlign w:val="center"/>
          </w:tcPr>
          <w:p w14:paraId="5F5C327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车辆疏导</w:t>
            </w:r>
          </w:p>
        </w:tc>
        <w:tc>
          <w:tcPr>
            <w:tcW w:w="8244" w:type="dxa"/>
            <w:tcMar>
              <w:top w:w="0" w:type="dxa"/>
              <w:left w:w="105" w:type="dxa"/>
              <w:bottom w:w="0" w:type="dxa"/>
              <w:right w:w="105" w:type="dxa"/>
            </w:tcMar>
            <w:vAlign w:val="center"/>
          </w:tcPr>
          <w:p w14:paraId="7A2EA54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对进出车辆进行管理、疏导，保证出入口环境整洁、有序、通畅。</w:t>
            </w:r>
          </w:p>
        </w:tc>
      </w:tr>
      <w:tr w14:paraId="5FEF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635" w:hRule="atLeast"/>
          <w:tblCellSpacing w:w="15" w:type="dxa"/>
          <w:jc w:val="center"/>
        </w:trPr>
        <w:tc>
          <w:tcPr>
            <w:tcW w:w="437" w:type="dxa"/>
            <w:vMerge w:val="restart"/>
            <w:tcMar>
              <w:top w:w="0" w:type="dxa"/>
              <w:left w:w="105" w:type="dxa"/>
              <w:bottom w:w="0" w:type="dxa"/>
              <w:right w:w="105" w:type="dxa"/>
            </w:tcMar>
            <w:vAlign w:val="center"/>
          </w:tcPr>
          <w:p w14:paraId="04F003F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巡</w:t>
            </w:r>
          </w:p>
          <w:p w14:paraId="321B0DC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逻</w:t>
            </w:r>
          </w:p>
          <w:p w14:paraId="73E0EED8">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岗</w:t>
            </w:r>
          </w:p>
        </w:tc>
        <w:tc>
          <w:tcPr>
            <w:tcW w:w="942" w:type="dxa"/>
            <w:tcMar>
              <w:top w:w="0" w:type="dxa"/>
              <w:left w:w="105" w:type="dxa"/>
              <w:bottom w:w="0" w:type="dxa"/>
              <w:right w:w="105" w:type="dxa"/>
            </w:tcMar>
            <w:vAlign w:val="center"/>
          </w:tcPr>
          <w:p w14:paraId="1B49003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巡逻要求</w:t>
            </w:r>
          </w:p>
        </w:tc>
        <w:tc>
          <w:tcPr>
            <w:tcW w:w="8244" w:type="dxa"/>
            <w:tcMar>
              <w:top w:w="0" w:type="dxa"/>
              <w:left w:w="105" w:type="dxa"/>
              <w:bottom w:w="0" w:type="dxa"/>
              <w:right w:w="105" w:type="dxa"/>
            </w:tcMar>
            <w:vAlign w:val="center"/>
          </w:tcPr>
          <w:p w14:paraId="082B25AC">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（1）安保人员按设定的路线每小时至少巡逻</w:t>
            </w:r>
            <w:r>
              <w:rPr>
                <w:rFonts w:hint="eastAsia" w:ascii="宋体" w:hAnsi="宋体" w:cs="宋体"/>
                <w:color w:val="000000"/>
                <w:highlight w:val="none"/>
              </w:rPr>
              <w:t>1</w:t>
            </w:r>
            <w:r>
              <w:rPr>
                <w:rFonts w:hint="eastAsia" w:ascii="宋体" w:hAnsi="宋体" w:cs="宋体"/>
                <w:highlight w:val="none"/>
              </w:rPr>
              <w:t>次，节假日增加巡逻次数，晚间2人组并排巡逻，规范整齐。</w:t>
            </w:r>
          </w:p>
          <w:p w14:paraId="298BB3B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（2）重点部位（道路、出入口、停车场、楼内通道等）应设巡更点，有巡更记录。</w:t>
            </w:r>
          </w:p>
          <w:p w14:paraId="42F251F2">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（3）接受旅客求助，回答询问。</w:t>
            </w:r>
          </w:p>
        </w:tc>
      </w:tr>
      <w:tr w14:paraId="76E7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335" w:hRule="atLeast"/>
          <w:tblCellSpacing w:w="15" w:type="dxa"/>
          <w:jc w:val="center"/>
        </w:trPr>
        <w:tc>
          <w:tcPr>
            <w:tcW w:w="437" w:type="dxa"/>
            <w:vMerge w:val="continue"/>
            <w:tcMar>
              <w:top w:w="0" w:type="dxa"/>
              <w:left w:w="105" w:type="dxa"/>
              <w:bottom w:w="0" w:type="dxa"/>
              <w:right w:w="105" w:type="dxa"/>
            </w:tcMar>
            <w:vAlign w:val="center"/>
          </w:tcPr>
          <w:p w14:paraId="30B26BFF">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942" w:type="dxa"/>
            <w:tcMar>
              <w:top w:w="0" w:type="dxa"/>
              <w:left w:w="105" w:type="dxa"/>
              <w:bottom w:w="0" w:type="dxa"/>
              <w:right w:w="105" w:type="dxa"/>
            </w:tcMar>
            <w:vAlign w:val="center"/>
          </w:tcPr>
          <w:p w14:paraId="0CC568DE">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应急处理</w:t>
            </w:r>
          </w:p>
        </w:tc>
        <w:tc>
          <w:tcPr>
            <w:tcW w:w="8244" w:type="dxa"/>
            <w:tcMar>
              <w:top w:w="0" w:type="dxa"/>
              <w:left w:w="105" w:type="dxa"/>
              <w:bottom w:w="0" w:type="dxa"/>
              <w:right w:w="105" w:type="dxa"/>
            </w:tcMar>
            <w:vAlign w:val="center"/>
          </w:tcPr>
          <w:p w14:paraId="6110B49D">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（1）接到火警后，三分钟内到达现场，立即对现场火情进行控制，并向上级报告，情节严重应立即拨打119等求助电话。                            （2）在遇到异常情况或招标人紧急求助时，三分钟内赶到现场，根据相关预案采取相应措施，保证处理方式准确、合理、及时。</w:t>
            </w:r>
          </w:p>
        </w:tc>
      </w:tr>
      <w:tr w14:paraId="1641E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365" w:hRule="atLeast"/>
          <w:tblCellSpacing w:w="15" w:type="dxa"/>
          <w:jc w:val="center"/>
        </w:trPr>
        <w:tc>
          <w:tcPr>
            <w:tcW w:w="437" w:type="dxa"/>
            <w:vMerge w:val="restart"/>
            <w:tcMar>
              <w:top w:w="0" w:type="dxa"/>
              <w:left w:w="105" w:type="dxa"/>
              <w:bottom w:w="0" w:type="dxa"/>
              <w:right w:w="105" w:type="dxa"/>
            </w:tcMar>
            <w:vAlign w:val="center"/>
          </w:tcPr>
          <w:p w14:paraId="0D646CB6">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监</w:t>
            </w:r>
          </w:p>
          <w:p w14:paraId="2B6CA80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控</w:t>
            </w:r>
          </w:p>
          <w:p w14:paraId="3130F35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岗</w:t>
            </w:r>
          </w:p>
        </w:tc>
        <w:tc>
          <w:tcPr>
            <w:tcW w:w="942" w:type="dxa"/>
            <w:tcMar>
              <w:top w:w="0" w:type="dxa"/>
              <w:left w:w="105" w:type="dxa"/>
              <w:bottom w:w="0" w:type="dxa"/>
              <w:right w:w="105" w:type="dxa"/>
            </w:tcMar>
            <w:vAlign w:val="center"/>
          </w:tcPr>
          <w:p w14:paraId="3D7713E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技防设施</w:t>
            </w:r>
          </w:p>
        </w:tc>
        <w:tc>
          <w:tcPr>
            <w:tcW w:w="8244" w:type="dxa"/>
            <w:tcMar>
              <w:top w:w="0" w:type="dxa"/>
              <w:left w:w="105" w:type="dxa"/>
              <w:bottom w:w="0" w:type="dxa"/>
              <w:right w:w="105" w:type="dxa"/>
            </w:tcMar>
            <w:vAlign w:val="center"/>
          </w:tcPr>
          <w:p w14:paraId="70C6E5B7">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 xml:space="preserve">（1）监控中心24小时专人值守，对所有监控点实施监控无遗漏。 </w:t>
            </w:r>
          </w:p>
          <w:p w14:paraId="394F5DD9">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（2）技术防范设施（如安防监控、周界报警等）能有效使用，对所反应的信息实施管理并及时处理。</w:t>
            </w:r>
          </w:p>
        </w:tc>
      </w:tr>
      <w:tr w14:paraId="5E885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455" w:hRule="atLeast"/>
          <w:tblCellSpacing w:w="15" w:type="dxa"/>
          <w:jc w:val="center"/>
        </w:trPr>
        <w:tc>
          <w:tcPr>
            <w:tcW w:w="437" w:type="dxa"/>
            <w:vMerge w:val="continue"/>
            <w:tcMar>
              <w:top w:w="0" w:type="dxa"/>
              <w:left w:w="105" w:type="dxa"/>
              <w:bottom w:w="0" w:type="dxa"/>
              <w:right w:w="105" w:type="dxa"/>
            </w:tcMar>
            <w:vAlign w:val="center"/>
          </w:tcPr>
          <w:p w14:paraId="6F98A689">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sz w:val="24"/>
                <w:szCs w:val="24"/>
                <w:highlight w:val="none"/>
              </w:rPr>
            </w:pPr>
          </w:p>
        </w:tc>
        <w:tc>
          <w:tcPr>
            <w:tcW w:w="942" w:type="dxa"/>
            <w:tcMar>
              <w:top w:w="0" w:type="dxa"/>
              <w:left w:w="105" w:type="dxa"/>
              <w:bottom w:w="0" w:type="dxa"/>
              <w:right w:w="105" w:type="dxa"/>
            </w:tcMar>
            <w:vAlign w:val="center"/>
          </w:tcPr>
          <w:p w14:paraId="6DC2B9BB">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jc w:val="center"/>
              <w:outlineLvl w:val="9"/>
              <w:rPr>
                <w:highlight w:val="none"/>
              </w:rPr>
            </w:pPr>
            <w:r>
              <w:rPr>
                <w:rFonts w:hint="eastAsia" w:ascii="宋体" w:hAnsi="宋体" w:cs="宋体"/>
                <w:highlight w:val="none"/>
              </w:rPr>
              <w:t>应急处理</w:t>
            </w:r>
          </w:p>
        </w:tc>
        <w:tc>
          <w:tcPr>
            <w:tcW w:w="8244" w:type="dxa"/>
            <w:tcMar>
              <w:top w:w="0" w:type="dxa"/>
              <w:left w:w="105" w:type="dxa"/>
              <w:bottom w:w="0" w:type="dxa"/>
              <w:right w:w="105" w:type="dxa"/>
            </w:tcMar>
            <w:vAlign w:val="center"/>
          </w:tcPr>
          <w:p w14:paraId="4AE8C851">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（1）监控人员发现存在危险情形，应立即通知安保人员，安保人员三分钟内到达现场进行处理，并根据严重程度向上级领导汇报，必要时拨打紧急求助电话；监控中心应接受救助请求，解答市民、旅客询问。</w:t>
            </w:r>
          </w:p>
          <w:p w14:paraId="0D197615">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outlineLvl w:val="9"/>
              <w:rPr>
                <w:highlight w:val="none"/>
              </w:rPr>
            </w:pPr>
            <w:r>
              <w:rPr>
                <w:rFonts w:hint="eastAsia" w:ascii="宋体" w:hAnsi="宋体" w:cs="宋体"/>
                <w:highlight w:val="none"/>
              </w:rPr>
              <w:t xml:space="preserve">（2）建立水、火、警情等应急预案，并在监控中心上墙，每季度应组织不少于一次应急预案演习。 </w:t>
            </w:r>
          </w:p>
        </w:tc>
      </w:tr>
    </w:tbl>
    <w:p w14:paraId="7D637440">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2"/>
        <w:outlineLvl w:val="9"/>
        <w:rPr>
          <w:highlight w:val="none"/>
        </w:rPr>
      </w:pPr>
      <w:r>
        <w:rPr>
          <w:rFonts w:hint="eastAsia" w:ascii="宋体" w:hAnsi="宋体" w:cs="宋体"/>
          <w:highlight w:val="none"/>
        </w:rPr>
        <w:t>3、保洁服务标准</w:t>
      </w:r>
    </w:p>
    <w:tbl>
      <w:tblPr>
        <w:tblStyle w:val="13"/>
        <w:tblW w:w="9812" w:type="dxa"/>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508"/>
        <w:gridCol w:w="1262"/>
        <w:gridCol w:w="7914"/>
        <w:gridCol w:w="128"/>
      </w:tblGrid>
      <w:tr w14:paraId="64A2D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gridAfter w:val="1"/>
          <w:wAfter w:w="128" w:type="dxa"/>
          <w:cantSplit/>
          <w:trHeight w:val="195" w:hRule="atLeast"/>
          <w:tblCellSpacing w:w="15" w:type="dxa"/>
          <w:jc w:val="center"/>
        </w:trPr>
        <w:tc>
          <w:tcPr>
            <w:tcW w:w="463" w:type="dxa"/>
            <w:vMerge w:val="restart"/>
            <w:tcMar>
              <w:bottom w:w="0" w:type="dxa"/>
            </w:tcMar>
            <w:vAlign w:val="center"/>
          </w:tcPr>
          <w:p w14:paraId="2004545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管</w:t>
            </w:r>
          </w:p>
          <w:p w14:paraId="5E19204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理</w:t>
            </w:r>
          </w:p>
          <w:p w14:paraId="104DAF2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服</w:t>
            </w:r>
          </w:p>
          <w:p w14:paraId="3B23902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务</w:t>
            </w:r>
          </w:p>
          <w:p w14:paraId="3273E9C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用</w:t>
            </w:r>
          </w:p>
          <w:p w14:paraId="42274567">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房</w:t>
            </w:r>
          </w:p>
          <w:p w14:paraId="2A86C028">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内</w:t>
            </w:r>
          </w:p>
          <w:p w14:paraId="62C0531C">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公</w:t>
            </w:r>
          </w:p>
          <w:p w14:paraId="65F7F491">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共</w:t>
            </w:r>
          </w:p>
          <w:p w14:paraId="61B0DBD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区</w:t>
            </w:r>
          </w:p>
          <w:p w14:paraId="01A4A2B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域</w:t>
            </w:r>
          </w:p>
        </w:tc>
        <w:tc>
          <w:tcPr>
            <w:tcW w:w="1232" w:type="dxa"/>
            <w:tcMar>
              <w:bottom w:w="0" w:type="dxa"/>
            </w:tcMar>
            <w:vAlign w:val="center"/>
          </w:tcPr>
          <w:p w14:paraId="54458DC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垃圾收集</w:t>
            </w:r>
          </w:p>
        </w:tc>
        <w:tc>
          <w:tcPr>
            <w:tcW w:w="7869" w:type="dxa"/>
            <w:tcMar>
              <w:bottom w:w="0" w:type="dxa"/>
            </w:tcMar>
            <w:vAlign w:val="center"/>
          </w:tcPr>
          <w:p w14:paraId="799D75E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（1）设置垃圾收集点，每天更换两次垃圾袋；每天早晚定时清理一次。</w:t>
            </w:r>
          </w:p>
        </w:tc>
      </w:tr>
      <w:tr w14:paraId="00074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gridAfter w:val="1"/>
          <w:wAfter w:w="128" w:type="dxa"/>
          <w:cantSplit/>
          <w:trHeight w:val="195" w:hRule="atLeast"/>
          <w:tblCellSpacing w:w="15" w:type="dxa"/>
          <w:jc w:val="center"/>
        </w:trPr>
        <w:tc>
          <w:tcPr>
            <w:tcW w:w="463" w:type="dxa"/>
            <w:vMerge w:val="continue"/>
            <w:tcMar>
              <w:bottom w:w="0" w:type="dxa"/>
            </w:tcMar>
            <w:vAlign w:val="center"/>
          </w:tcPr>
          <w:p w14:paraId="46451FE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7F02A0F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通道及楼梯台阶</w:t>
            </w:r>
          </w:p>
        </w:tc>
        <w:tc>
          <w:tcPr>
            <w:tcW w:w="7869" w:type="dxa"/>
            <w:tcMar>
              <w:bottom w:w="0" w:type="dxa"/>
            </w:tcMar>
            <w:vAlign w:val="center"/>
          </w:tcPr>
          <w:p w14:paraId="0D273A2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（1）地面适时清扫，跟踪保洁，每日至少拖洗两次。</w:t>
            </w:r>
          </w:p>
          <w:p w14:paraId="230A387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（2）楼梯间墙面每周至少除尘一次。                    </w:t>
            </w:r>
          </w:p>
          <w:p w14:paraId="7CE444D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（3）每日循环清扫地面垃圾，清除台面、地面的污迹，每月至少彻底清洗两次，平时发现污渍及时处理。</w:t>
            </w:r>
          </w:p>
          <w:p w14:paraId="629FFF9B">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（4）楼梯间无灰尘，无乱贴乱画，无杂乱现象。</w:t>
            </w:r>
          </w:p>
          <w:p w14:paraId="02EE826C">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（5）巡回保洁</w:t>
            </w:r>
          </w:p>
        </w:tc>
      </w:tr>
      <w:tr w14:paraId="15310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gridAfter w:val="1"/>
          <w:wAfter w:w="128" w:type="dxa"/>
          <w:cantSplit/>
          <w:trHeight w:val="105" w:hRule="atLeast"/>
          <w:tblCellSpacing w:w="15" w:type="dxa"/>
          <w:jc w:val="center"/>
        </w:trPr>
        <w:tc>
          <w:tcPr>
            <w:tcW w:w="463" w:type="dxa"/>
            <w:vMerge w:val="continue"/>
            <w:tcMar>
              <w:bottom w:w="0" w:type="dxa"/>
            </w:tcMar>
            <w:vAlign w:val="center"/>
          </w:tcPr>
          <w:p w14:paraId="12DB7EE7">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15F5FA6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楼梯扶手、</w:t>
            </w:r>
          </w:p>
          <w:p w14:paraId="696C12C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栏杆、窗台、开关面板</w:t>
            </w:r>
          </w:p>
        </w:tc>
        <w:tc>
          <w:tcPr>
            <w:tcW w:w="7869" w:type="dxa"/>
            <w:tcMar>
              <w:bottom w:w="0" w:type="dxa"/>
            </w:tcMar>
            <w:vAlign w:val="center"/>
          </w:tcPr>
          <w:p w14:paraId="18E1F04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每天至少擦抹二次，保持扶手护栏干净、无灰尘，巡回保洁。</w:t>
            </w:r>
          </w:p>
        </w:tc>
      </w:tr>
      <w:tr w14:paraId="4E47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gridAfter w:val="1"/>
          <w:wAfter w:w="128" w:type="dxa"/>
          <w:cantSplit/>
          <w:trHeight w:val="150" w:hRule="atLeast"/>
          <w:tblCellSpacing w:w="15" w:type="dxa"/>
          <w:jc w:val="center"/>
        </w:trPr>
        <w:tc>
          <w:tcPr>
            <w:tcW w:w="463" w:type="dxa"/>
            <w:vMerge w:val="continue"/>
            <w:tcMar>
              <w:bottom w:w="0" w:type="dxa"/>
            </w:tcMar>
            <w:vAlign w:val="center"/>
          </w:tcPr>
          <w:p w14:paraId="5D803D7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7E1252C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门、窗等框与玻璃</w:t>
            </w:r>
          </w:p>
        </w:tc>
        <w:tc>
          <w:tcPr>
            <w:tcW w:w="7869" w:type="dxa"/>
            <w:tcMar>
              <w:bottom w:w="0" w:type="dxa"/>
            </w:tcMar>
            <w:vAlign w:val="center"/>
          </w:tcPr>
          <w:p w14:paraId="0C54C847">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每周至少擦抹一次，保持洁净、无灰尘。</w:t>
            </w:r>
          </w:p>
        </w:tc>
      </w:tr>
      <w:tr w14:paraId="15CC5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gridAfter w:val="1"/>
          <w:wAfter w:w="128" w:type="dxa"/>
          <w:cantSplit/>
          <w:trHeight w:val="195" w:hRule="atLeast"/>
          <w:tblCellSpacing w:w="15" w:type="dxa"/>
          <w:jc w:val="center"/>
        </w:trPr>
        <w:tc>
          <w:tcPr>
            <w:tcW w:w="463" w:type="dxa"/>
            <w:vMerge w:val="continue"/>
            <w:tcMar>
              <w:bottom w:w="0" w:type="dxa"/>
            </w:tcMar>
            <w:vAlign w:val="center"/>
          </w:tcPr>
          <w:p w14:paraId="0EA96B8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251037E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天花板、公共灯具</w:t>
            </w:r>
          </w:p>
        </w:tc>
        <w:tc>
          <w:tcPr>
            <w:tcW w:w="7869" w:type="dxa"/>
            <w:tcMar>
              <w:bottom w:w="0" w:type="dxa"/>
            </w:tcMar>
            <w:vAlign w:val="center"/>
          </w:tcPr>
          <w:p w14:paraId="4CE824B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每周至少除尘一次，天花板、灯盖、灯罩、灯座目视无灰尘、无污迹、无蜘蛛网。</w:t>
            </w:r>
          </w:p>
        </w:tc>
      </w:tr>
      <w:tr w14:paraId="7FFF2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gridAfter w:val="1"/>
          <w:wAfter w:w="128" w:type="dxa"/>
          <w:cantSplit/>
          <w:trHeight w:val="120" w:hRule="atLeast"/>
          <w:tblCellSpacing w:w="15" w:type="dxa"/>
          <w:jc w:val="center"/>
        </w:trPr>
        <w:tc>
          <w:tcPr>
            <w:tcW w:w="463" w:type="dxa"/>
            <w:vMerge w:val="continue"/>
            <w:tcMar>
              <w:bottom w:w="0" w:type="dxa"/>
            </w:tcMar>
            <w:vAlign w:val="center"/>
          </w:tcPr>
          <w:p w14:paraId="13AEA7E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7A9C2B7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消火栓、指示牌</w:t>
            </w:r>
          </w:p>
        </w:tc>
        <w:tc>
          <w:tcPr>
            <w:tcW w:w="7869" w:type="dxa"/>
            <w:tcMar>
              <w:bottom w:w="0" w:type="dxa"/>
            </w:tcMar>
            <w:vAlign w:val="center"/>
          </w:tcPr>
          <w:p w14:paraId="0AABC3B3">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隔天至少擦抹一次，保持干净无灰尘、无污迹。</w:t>
            </w:r>
          </w:p>
        </w:tc>
      </w:tr>
      <w:tr w14:paraId="140A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gridAfter w:val="1"/>
          <w:wAfter w:w="128" w:type="dxa"/>
          <w:cantSplit/>
          <w:trHeight w:val="195" w:hRule="atLeast"/>
          <w:tblCellSpacing w:w="15" w:type="dxa"/>
          <w:jc w:val="center"/>
        </w:trPr>
        <w:tc>
          <w:tcPr>
            <w:tcW w:w="463" w:type="dxa"/>
            <w:vMerge w:val="restart"/>
            <w:tcMar>
              <w:bottom w:w="0" w:type="dxa"/>
            </w:tcMar>
            <w:vAlign w:val="center"/>
          </w:tcPr>
          <w:p w14:paraId="3A350D6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ascii="宋体" w:hAnsi="宋体" w:cs="宋体"/>
                <w:highlight w:val="none"/>
              </w:rPr>
            </w:pPr>
            <w:r>
              <w:rPr>
                <w:rFonts w:hint="eastAsia" w:ascii="宋体" w:hAnsi="宋体" w:cs="宋体"/>
                <w:highlight w:val="none"/>
              </w:rPr>
              <w:t>文</w:t>
            </w:r>
          </w:p>
          <w:p w14:paraId="54CA459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ascii="宋体" w:hAnsi="宋体" w:cs="宋体"/>
                <w:highlight w:val="none"/>
              </w:rPr>
            </w:pPr>
            <w:r>
              <w:rPr>
                <w:rFonts w:hint="eastAsia" w:ascii="宋体" w:hAnsi="宋体" w:cs="宋体"/>
                <w:highlight w:val="none"/>
              </w:rPr>
              <w:t>化</w:t>
            </w:r>
          </w:p>
          <w:p w14:paraId="1EA9A037">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ascii="宋体" w:hAnsi="宋体" w:cs="宋体"/>
                <w:highlight w:val="none"/>
              </w:rPr>
            </w:pPr>
            <w:r>
              <w:rPr>
                <w:rFonts w:hint="eastAsia" w:ascii="宋体" w:hAnsi="宋体" w:cs="宋体"/>
                <w:highlight w:val="none"/>
              </w:rPr>
              <w:t>街</w:t>
            </w:r>
          </w:p>
          <w:p w14:paraId="29394B2D">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区</w:t>
            </w:r>
          </w:p>
          <w:p w14:paraId="6F7F323D">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公</w:t>
            </w:r>
          </w:p>
          <w:p w14:paraId="0BDF0B8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共</w:t>
            </w:r>
          </w:p>
          <w:p w14:paraId="268EF99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区</w:t>
            </w:r>
          </w:p>
          <w:p w14:paraId="1BCB15C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域</w:t>
            </w:r>
          </w:p>
        </w:tc>
        <w:tc>
          <w:tcPr>
            <w:tcW w:w="1232" w:type="dxa"/>
            <w:tcMar>
              <w:bottom w:w="0" w:type="dxa"/>
            </w:tcMar>
            <w:vAlign w:val="center"/>
          </w:tcPr>
          <w:p w14:paraId="08DF7A8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道路地面</w:t>
            </w:r>
          </w:p>
        </w:tc>
        <w:tc>
          <w:tcPr>
            <w:tcW w:w="7869" w:type="dxa"/>
            <w:tcMar>
              <w:bottom w:w="0" w:type="dxa"/>
            </w:tcMar>
            <w:vAlign w:val="center"/>
          </w:tcPr>
          <w:p w14:paraId="4E36245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每天清扫保洁至少三次，白天专人不间断循环保洁。目视道路干净无尘灰、无杂物、无积水。</w:t>
            </w:r>
          </w:p>
        </w:tc>
      </w:tr>
      <w:tr w14:paraId="1CA7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gridAfter w:val="1"/>
          <w:wAfter w:w="128" w:type="dxa"/>
          <w:cantSplit/>
          <w:trHeight w:val="135" w:hRule="atLeast"/>
          <w:tblCellSpacing w:w="15" w:type="dxa"/>
          <w:jc w:val="center"/>
        </w:trPr>
        <w:tc>
          <w:tcPr>
            <w:tcW w:w="463" w:type="dxa"/>
            <w:vMerge w:val="continue"/>
            <w:tcMar>
              <w:bottom w:w="0" w:type="dxa"/>
            </w:tcMar>
            <w:vAlign w:val="center"/>
          </w:tcPr>
          <w:p w14:paraId="08F1087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670AC0A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绿地、明沟</w:t>
            </w:r>
          </w:p>
        </w:tc>
        <w:tc>
          <w:tcPr>
            <w:tcW w:w="7869" w:type="dxa"/>
            <w:tcMar>
              <w:bottom w:w="0" w:type="dxa"/>
            </w:tcMar>
            <w:vAlign w:val="center"/>
          </w:tcPr>
          <w:p w14:paraId="1AC4062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 xml:space="preserve">每天循环保洁，发现垃圾杂物及时清除，不得有垃圾滞留。 </w:t>
            </w:r>
          </w:p>
        </w:tc>
      </w:tr>
      <w:tr w14:paraId="5B784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3" w:type="dxa"/>
            <w:vMerge w:val="continue"/>
            <w:tcMar>
              <w:bottom w:w="0" w:type="dxa"/>
            </w:tcMar>
            <w:vAlign w:val="center"/>
          </w:tcPr>
          <w:p w14:paraId="42844AA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7D76113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垃圾箱（桶）、果皮箱</w:t>
            </w:r>
          </w:p>
        </w:tc>
        <w:tc>
          <w:tcPr>
            <w:tcW w:w="7997" w:type="dxa"/>
            <w:gridSpan w:val="2"/>
            <w:tcMar>
              <w:bottom w:w="0" w:type="dxa"/>
            </w:tcMar>
            <w:vAlign w:val="center"/>
          </w:tcPr>
          <w:p w14:paraId="42DD573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每天至少清理一次，并至少抹洗一次，垃圾无满溢，垃圾箱（桶）、果皮箱周围地面干净整洁、无垃圾、无污迹、无异味。</w:t>
            </w:r>
          </w:p>
        </w:tc>
      </w:tr>
      <w:tr w14:paraId="3ADE3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3" w:type="dxa"/>
            <w:vMerge w:val="continue"/>
            <w:tcMar>
              <w:bottom w:w="0" w:type="dxa"/>
            </w:tcMar>
            <w:vAlign w:val="center"/>
          </w:tcPr>
          <w:p w14:paraId="6F49376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2B81402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消灭鼠害</w:t>
            </w:r>
          </w:p>
          <w:p w14:paraId="4F79C6D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蚊蝇</w:t>
            </w:r>
          </w:p>
        </w:tc>
        <w:tc>
          <w:tcPr>
            <w:tcW w:w="7997" w:type="dxa"/>
            <w:gridSpan w:val="2"/>
            <w:tcMar>
              <w:bottom w:w="0" w:type="dxa"/>
            </w:tcMar>
            <w:vAlign w:val="center"/>
          </w:tcPr>
          <w:p w14:paraId="7C5E3D5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每月至少对窨井、明沟、垃圾箱等喷洒药水一次，春夏季（4月、5月、6月、7月、8月）每月至少灭鼠一次，其余每季灭鼠一次。</w:t>
            </w:r>
          </w:p>
        </w:tc>
      </w:tr>
      <w:tr w14:paraId="11A17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3" w:type="dxa"/>
            <w:vMerge w:val="continue"/>
            <w:tcMar>
              <w:bottom w:w="0" w:type="dxa"/>
            </w:tcMar>
            <w:vAlign w:val="center"/>
          </w:tcPr>
          <w:p w14:paraId="5E23A01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4572A2C1">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公共灯具、宣传栏</w:t>
            </w:r>
          </w:p>
        </w:tc>
        <w:tc>
          <w:tcPr>
            <w:tcW w:w="7997" w:type="dxa"/>
            <w:gridSpan w:val="2"/>
            <w:tcMar>
              <w:bottom w:w="0" w:type="dxa"/>
            </w:tcMar>
            <w:vAlign w:val="center"/>
          </w:tcPr>
          <w:p w14:paraId="49D332E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每周至少擦抹一次，目视无灰尘，光亮清洁，2米以上部位每半月擦抹、除尘至少一次。</w:t>
            </w:r>
          </w:p>
        </w:tc>
      </w:tr>
      <w:tr w14:paraId="7ABC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90" w:hRule="atLeast"/>
          <w:tblCellSpacing w:w="15" w:type="dxa"/>
          <w:jc w:val="center"/>
        </w:trPr>
        <w:tc>
          <w:tcPr>
            <w:tcW w:w="463" w:type="dxa"/>
            <w:vMerge w:val="continue"/>
            <w:tcMar>
              <w:bottom w:w="0" w:type="dxa"/>
            </w:tcMar>
            <w:vAlign w:val="center"/>
          </w:tcPr>
          <w:p w14:paraId="196DAC9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67B9B973">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设施设备用房</w:t>
            </w:r>
          </w:p>
        </w:tc>
        <w:tc>
          <w:tcPr>
            <w:tcW w:w="7997" w:type="dxa"/>
            <w:gridSpan w:val="2"/>
            <w:tcMar>
              <w:bottom w:w="0" w:type="dxa"/>
            </w:tcMar>
            <w:vAlign w:val="center"/>
          </w:tcPr>
          <w:p w14:paraId="71A2257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每天清扫一次。</w:t>
            </w:r>
          </w:p>
        </w:tc>
      </w:tr>
      <w:tr w14:paraId="78267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3" w:type="dxa"/>
            <w:vMerge w:val="continue"/>
            <w:tcMar>
              <w:bottom w:w="0" w:type="dxa"/>
            </w:tcMar>
            <w:vAlign w:val="center"/>
          </w:tcPr>
          <w:p w14:paraId="07EAB0D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4F4F1A0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停车场</w:t>
            </w:r>
          </w:p>
        </w:tc>
        <w:tc>
          <w:tcPr>
            <w:tcW w:w="7997" w:type="dxa"/>
            <w:gridSpan w:val="2"/>
            <w:tcMar>
              <w:bottom w:w="0" w:type="dxa"/>
            </w:tcMar>
            <w:vAlign w:val="center"/>
          </w:tcPr>
          <w:p w14:paraId="09219A2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每天清扫至少二次；及时清除进出口的垃圾；发现油迹、污迹、锈迹，应及时擦洗干净，无异味；标识、指示牌等公共设施目视无灰尘。</w:t>
            </w:r>
          </w:p>
        </w:tc>
      </w:tr>
      <w:tr w14:paraId="6C993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3" w:type="dxa"/>
            <w:vMerge w:val="restart"/>
            <w:tcMar>
              <w:top w:w="0" w:type="dxa"/>
              <w:left w:w="0" w:type="dxa"/>
              <w:bottom w:w="0" w:type="dxa"/>
              <w:right w:w="0" w:type="dxa"/>
            </w:tcMar>
            <w:vAlign w:val="center"/>
          </w:tcPr>
          <w:p w14:paraId="4C6E54A3">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公</w:t>
            </w:r>
          </w:p>
          <w:p w14:paraId="2CCCF76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共</w:t>
            </w:r>
          </w:p>
          <w:p w14:paraId="7B0DEEE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厕</w:t>
            </w:r>
          </w:p>
          <w:p w14:paraId="2190495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所</w:t>
            </w:r>
          </w:p>
        </w:tc>
        <w:tc>
          <w:tcPr>
            <w:tcW w:w="1232" w:type="dxa"/>
            <w:tcMar>
              <w:bottom w:w="0" w:type="dxa"/>
            </w:tcMar>
            <w:vAlign w:val="center"/>
          </w:tcPr>
          <w:p w14:paraId="21D137B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天花板、灯具、出风口</w:t>
            </w:r>
          </w:p>
        </w:tc>
        <w:tc>
          <w:tcPr>
            <w:tcW w:w="7997" w:type="dxa"/>
            <w:gridSpan w:val="2"/>
            <w:tcMar>
              <w:bottom w:w="0" w:type="dxa"/>
            </w:tcMar>
            <w:vAlign w:val="center"/>
          </w:tcPr>
          <w:p w14:paraId="0B8FB3CD">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天花板、灯具、出风口目视无明显灰尘。</w:t>
            </w:r>
          </w:p>
        </w:tc>
      </w:tr>
      <w:tr w14:paraId="663D5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3" w:type="dxa"/>
            <w:vMerge w:val="continue"/>
            <w:tcMar>
              <w:top w:w="0" w:type="dxa"/>
              <w:left w:w="0" w:type="dxa"/>
              <w:bottom w:w="0" w:type="dxa"/>
              <w:right w:w="0" w:type="dxa"/>
            </w:tcMar>
            <w:vAlign w:val="center"/>
          </w:tcPr>
          <w:p w14:paraId="2A142FB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0358D81B">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门、隔板、窗台</w:t>
            </w:r>
          </w:p>
        </w:tc>
        <w:tc>
          <w:tcPr>
            <w:tcW w:w="7997" w:type="dxa"/>
            <w:gridSpan w:val="2"/>
            <w:tcMar>
              <w:bottom w:w="0" w:type="dxa"/>
            </w:tcMar>
            <w:vAlign w:val="center"/>
          </w:tcPr>
          <w:p w14:paraId="2D3C795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门、隔断无灰尘、无污渍、无脚印、无小广告、无乱写乱画、</w:t>
            </w:r>
          </w:p>
          <w:p w14:paraId="0281F12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玻璃窗无灰尘、水渍、污迹、痰迹。</w:t>
            </w:r>
          </w:p>
        </w:tc>
      </w:tr>
      <w:tr w14:paraId="672D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3" w:type="dxa"/>
            <w:vMerge w:val="continue"/>
            <w:tcMar>
              <w:top w:w="0" w:type="dxa"/>
              <w:left w:w="0" w:type="dxa"/>
              <w:bottom w:w="0" w:type="dxa"/>
              <w:right w:w="0" w:type="dxa"/>
            </w:tcMar>
            <w:vAlign w:val="center"/>
          </w:tcPr>
          <w:p w14:paraId="1789DAF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7C67813B">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大小便池、纸篓</w:t>
            </w:r>
          </w:p>
        </w:tc>
        <w:tc>
          <w:tcPr>
            <w:tcW w:w="7997" w:type="dxa"/>
            <w:gridSpan w:val="2"/>
            <w:tcMar>
              <w:bottom w:w="0" w:type="dxa"/>
            </w:tcMar>
            <w:vAlign w:val="center"/>
          </w:tcPr>
          <w:p w14:paraId="43A022F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大小便池内干净，无干便尿垢、无烟头、无异味；污物及手纸</w:t>
            </w:r>
          </w:p>
          <w:p w14:paraId="3C86C32F">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无外溢，纸篓内外要保持干净，纸篓内垃圾不超过2/3。</w:t>
            </w:r>
          </w:p>
          <w:p w14:paraId="52A62DD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 </w:t>
            </w:r>
          </w:p>
        </w:tc>
      </w:tr>
      <w:tr w14:paraId="6F15D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3" w:type="dxa"/>
            <w:vMerge w:val="continue"/>
            <w:tcMar>
              <w:top w:w="0" w:type="dxa"/>
              <w:left w:w="0" w:type="dxa"/>
              <w:bottom w:w="0" w:type="dxa"/>
              <w:right w:w="0" w:type="dxa"/>
            </w:tcMar>
            <w:vAlign w:val="center"/>
          </w:tcPr>
          <w:p w14:paraId="6644C87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00C7172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地面、墙面</w:t>
            </w:r>
          </w:p>
        </w:tc>
        <w:tc>
          <w:tcPr>
            <w:tcW w:w="7997" w:type="dxa"/>
            <w:gridSpan w:val="2"/>
            <w:tcMar>
              <w:bottom w:w="0" w:type="dxa"/>
            </w:tcMar>
            <w:vAlign w:val="center"/>
          </w:tcPr>
          <w:p w14:paraId="5DE665E1">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地面无积水、无污渍、无烟头/弃物；墙面无污渍、无乱张</w:t>
            </w:r>
          </w:p>
          <w:p w14:paraId="686184C8">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贴、无乱写乱画。</w:t>
            </w:r>
          </w:p>
          <w:p w14:paraId="0D491A21">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 </w:t>
            </w:r>
          </w:p>
        </w:tc>
      </w:tr>
      <w:tr w14:paraId="7A422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3" w:type="dxa"/>
            <w:vMerge w:val="continue"/>
            <w:tcMar>
              <w:top w:w="0" w:type="dxa"/>
              <w:left w:w="0" w:type="dxa"/>
              <w:bottom w:w="0" w:type="dxa"/>
              <w:right w:w="0" w:type="dxa"/>
            </w:tcMar>
            <w:vAlign w:val="center"/>
          </w:tcPr>
          <w:p w14:paraId="6EBDA55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rFonts w:ascii="宋体"/>
                <w:sz w:val="24"/>
                <w:szCs w:val="24"/>
                <w:highlight w:val="none"/>
              </w:rPr>
            </w:pPr>
          </w:p>
        </w:tc>
        <w:tc>
          <w:tcPr>
            <w:tcW w:w="1232" w:type="dxa"/>
            <w:tcMar>
              <w:bottom w:w="0" w:type="dxa"/>
            </w:tcMar>
            <w:vAlign w:val="center"/>
          </w:tcPr>
          <w:p w14:paraId="7225A37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highlight w:val="none"/>
              </w:rPr>
            </w:pPr>
            <w:r>
              <w:rPr>
                <w:rFonts w:hint="eastAsia" w:ascii="宋体" w:hAnsi="宋体" w:cs="宋体"/>
                <w:highlight w:val="none"/>
              </w:rPr>
              <w:t>水龙头、洗手池、台面</w:t>
            </w:r>
          </w:p>
        </w:tc>
        <w:tc>
          <w:tcPr>
            <w:tcW w:w="7997" w:type="dxa"/>
            <w:gridSpan w:val="2"/>
            <w:tcMar>
              <w:bottom w:w="0" w:type="dxa"/>
            </w:tcMar>
            <w:vAlign w:val="center"/>
          </w:tcPr>
          <w:p w14:paraId="218A1FDC">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textAlignment w:val="auto"/>
              <w:outlineLvl w:val="9"/>
              <w:rPr>
                <w:highlight w:val="none"/>
              </w:rPr>
            </w:pPr>
            <w:r>
              <w:rPr>
                <w:rFonts w:hint="eastAsia" w:ascii="宋体" w:hAnsi="宋体" w:cs="宋体"/>
                <w:highlight w:val="none"/>
              </w:rPr>
              <w:t>水龙头光亮、无水渍；镜面光亮、无水渍；洗手池无污渍、釉面光亮；台面无杂物、无积水；</w:t>
            </w:r>
          </w:p>
        </w:tc>
      </w:tr>
    </w:tbl>
    <w:p w14:paraId="7C6A183A">
      <w:pPr>
        <w:pStyle w:val="10"/>
        <w:keepNext w:val="0"/>
        <w:keepLines w:val="0"/>
        <w:pageBreakBefore w:val="0"/>
        <w:widowControl/>
        <w:kinsoku/>
        <w:overflowPunct/>
        <w:topLinePunct w:val="0"/>
        <w:autoSpaceDN/>
        <w:bidi w:val="0"/>
        <w:adjustRightInd/>
        <w:snapToGrid w:val="0"/>
        <w:spacing w:beforeAutospacing="0" w:afterAutospacing="0" w:line="240" w:lineRule="auto"/>
        <w:ind w:right="0" w:rightChars="0" w:firstLine="482"/>
        <w:outlineLvl w:val="9"/>
        <w:rPr>
          <w:highlight w:val="none"/>
        </w:rPr>
      </w:pPr>
      <w:r>
        <w:rPr>
          <w:rFonts w:hint="eastAsia" w:ascii="宋体" w:hAnsi="宋体" w:cs="宋体"/>
          <w:highlight w:val="none"/>
        </w:rPr>
        <w:t>4、工程维修服务标准</w:t>
      </w:r>
    </w:p>
    <w:tbl>
      <w:tblPr>
        <w:tblStyle w:val="13"/>
        <w:tblW w:w="9794" w:type="dxa"/>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514"/>
        <w:gridCol w:w="1263"/>
        <w:gridCol w:w="8017"/>
      </w:tblGrid>
      <w:tr w14:paraId="0A72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vMerge w:val="restart"/>
            <w:tcMar>
              <w:bottom w:w="0" w:type="dxa"/>
            </w:tcMar>
            <w:vAlign w:val="center"/>
          </w:tcPr>
          <w:p w14:paraId="71FD7FE1">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公</w:t>
            </w:r>
          </w:p>
          <w:p w14:paraId="685FF24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共</w:t>
            </w:r>
          </w:p>
          <w:p w14:paraId="0B3BC42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区</w:t>
            </w:r>
          </w:p>
          <w:p w14:paraId="2FD7FFD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域</w:t>
            </w:r>
          </w:p>
          <w:p w14:paraId="041C755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房</w:t>
            </w:r>
          </w:p>
          <w:p w14:paraId="5AA6831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屋</w:t>
            </w:r>
          </w:p>
          <w:p w14:paraId="7735BCB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设</w:t>
            </w:r>
          </w:p>
          <w:p w14:paraId="11FCBFB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施</w:t>
            </w:r>
          </w:p>
          <w:p w14:paraId="4A220B3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管</w:t>
            </w:r>
          </w:p>
          <w:p w14:paraId="43D8921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理</w:t>
            </w:r>
          </w:p>
        </w:tc>
        <w:tc>
          <w:tcPr>
            <w:tcW w:w="1233" w:type="dxa"/>
            <w:tcMar>
              <w:bottom w:w="0" w:type="dxa"/>
            </w:tcMar>
            <w:vAlign w:val="center"/>
          </w:tcPr>
          <w:p w14:paraId="30A4DF7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房屋本体承重结构抗震部位</w:t>
            </w:r>
          </w:p>
        </w:tc>
        <w:tc>
          <w:tcPr>
            <w:tcW w:w="7972" w:type="dxa"/>
            <w:tcMar>
              <w:bottom w:w="0" w:type="dxa"/>
            </w:tcMar>
            <w:vAlign w:val="top"/>
          </w:tcPr>
          <w:p w14:paraId="51187A2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1、构件满足强度、刚度和稳定 性要求；</w:t>
            </w:r>
          </w:p>
          <w:p w14:paraId="22EE550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2、房屋各结构部位正常可靠；</w:t>
            </w:r>
          </w:p>
          <w:p w14:paraId="7C234771">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3、完好率达到98%以上。</w:t>
            </w:r>
          </w:p>
        </w:tc>
      </w:tr>
      <w:tr w14:paraId="0EAD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vMerge w:val="continue"/>
            <w:tcMar>
              <w:bottom w:w="0" w:type="dxa"/>
            </w:tcMar>
            <w:vAlign w:val="center"/>
          </w:tcPr>
          <w:p w14:paraId="339C493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36EC4E8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 </w:t>
            </w:r>
          </w:p>
          <w:p w14:paraId="1245AE9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外墙</w:t>
            </w:r>
          </w:p>
        </w:tc>
        <w:tc>
          <w:tcPr>
            <w:tcW w:w="7972" w:type="dxa"/>
            <w:tcMar>
              <w:bottom w:w="0" w:type="dxa"/>
            </w:tcMar>
            <w:vAlign w:val="top"/>
          </w:tcPr>
          <w:p w14:paraId="3C68FC93">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1、外墙无渗漏现象；</w:t>
            </w:r>
          </w:p>
          <w:p w14:paraId="41B7D0DF">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2、外墙使用功能正常可靠；</w:t>
            </w:r>
          </w:p>
          <w:p w14:paraId="66C61B3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3、平整、清洁、美观、保持市容观瞻；</w:t>
            </w:r>
          </w:p>
          <w:p w14:paraId="1A5ECD9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4、完好率达到98%以上。</w:t>
            </w:r>
          </w:p>
        </w:tc>
      </w:tr>
      <w:tr w14:paraId="24919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05" w:hRule="atLeast"/>
          <w:tblCellSpacing w:w="15" w:type="dxa"/>
          <w:jc w:val="center"/>
        </w:trPr>
        <w:tc>
          <w:tcPr>
            <w:tcW w:w="469" w:type="dxa"/>
            <w:vMerge w:val="continue"/>
            <w:tcMar>
              <w:bottom w:w="0" w:type="dxa"/>
            </w:tcMar>
            <w:vAlign w:val="center"/>
          </w:tcPr>
          <w:p w14:paraId="4425F30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452C04B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 </w:t>
            </w:r>
          </w:p>
          <w:p w14:paraId="5DB4A6B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屋面</w:t>
            </w:r>
          </w:p>
        </w:tc>
        <w:tc>
          <w:tcPr>
            <w:tcW w:w="7972" w:type="dxa"/>
            <w:tcMar>
              <w:bottom w:w="0" w:type="dxa"/>
            </w:tcMar>
            <w:vAlign w:val="top"/>
          </w:tcPr>
          <w:p w14:paraId="075DD5F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1、确保使用功能正常可靠；</w:t>
            </w:r>
          </w:p>
          <w:p w14:paraId="36DFFC5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2、清洁美观；</w:t>
            </w:r>
          </w:p>
          <w:p w14:paraId="36E92757">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3、完好率达到99%以上</w:t>
            </w:r>
          </w:p>
        </w:tc>
      </w:tr>
      <w:tr w14:paraId="0258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50" w:hRule="atLeast"/>
          <w:tblCellSpacing w:w="15" w:type="dxa"/>
          <w:jc w:val="center"/>
        </w:trPr>
        <w:tc>
          <w:tcPr>
            <w:tcW w:w="469" w:type="dxa"/>
            <w:vMerge w:val="continue"/>
            <w:tcMar>
              <w:bottom w:w="0" w:type="dxa"/>
            </w:tcMar>
            <w:vAlign w:val="center"/>
          </w:tcPr>
          <w:p w14:paraId="7A8414A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2B01933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楼梯间、通道</w:t>
            </w:r>
          </w:p>
        </w:tc>
        <w:tc>
          <w:tcPr>
            <w:tcW w:w="7972" w:type="dxa"/>
            <w:tcMar>
              <w:bottom w:w="0" w:type="dxa"/>
            </w:tcMar>
            <w:vAlign w:val="top"/>
          </w:tcPr>
          <w:p w14:paraId="7958860B">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1、确保使用功能正常可靠；</w:t>
            </w:r>
          </w:p>
          <w:p w14:paraId="3EA03E3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2、清洁美观；</w:t>
            </w:r>
          </w:p>
          <w:p w14:paraId="1EA78B6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3、完好率达到99%以上</w:t>
            </w:r>
          </w:p>
        </w:tc>
      </w:tr>
      <w:tr w14:paraId="0911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vMerge w:val="continue"/>
            <w:tcMar>
              <w:bottom w:w="0" w:type="dxa"/>
            </w:tcMar>
            <w:vAlign w:val="center"/>
          </w:tcPr>
          <w:p w14:paraId="190E354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566CB00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区内道路及</w:t>
            </w:r>
          </w:p>
          <w:p w14:paraId="0AB46ABC">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广场</w:t>
            </w:r>
          </w:p>
        </w:tc>
        <w:tc>
          <w:tcPr>
            <w:tcW w:w="7972" w:type="dxa"/>
            <w:tcMar>
              <w:bottom w:w="0" w:type="dxa"/>
            </w:tcMar>
            <w:vAlign w:val="top"/>
          </w:tcPr>
          <w:p w14:paraId="5CE0262B">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1、平整、无坑洼积水；</w:t>
            </w:r>
          </w:p>
          <w:p w14:paraId="1884D8EB">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2、确保区内道路使用功能正常，无安全隐患；</w:t>
            </w:r>
          </w:p>
          <w:p w14:paraId="0B9A6BCD">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3、完好率达到98%以上。  </w:t>
            </w:r>
          </w:p>
        </w:tc>
      </w:tr>
      <w:tr w14:paraId="6C3B4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20" w:hRule="atLeast"/>
          <w:tblCellSpacing w:w="15" w:type="dxa"/>
          <w:jc w:val="center"/>
        </w:trPr>
        <w:tc>
          <w:tcPr>
            <w:tcW w:w="469" w:type="dxa"/>
            <w:vMerge w:val="continue"/>
            <w:tcMar>
              <w:bottom w:w="0" w:type="dxa"/>
            </w:tcMar>
            <w:vAlign w:val="center"/>
          </w:tcPr>
          <w:p w14:paraId="3E599FD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542E97E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沟、渠、池、井</w:t>
            </w:r>
          </w:p>
        </w:tc>
        <w:tc>
          <w:tcPr>
            <w:tcW w:w="7972" w:type="dxa"/>
            <w:tcMar>
              <w:bottom w:w="0" w:type="dxa"/>
            </w:tcMar>
            <w:vAlign w:val="top"/>
          </w:tcPr>
          <w:p w14:paraId="16350F08">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1、沟、渠、井使用功能正常，畅通、无堵塞现象；</w:t>
            </w:r>
          </w:p>
          <w:p w14:paraId="7243D02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2、完好率达到98%以上。</w:t>
            </w:r>
          </w:p>
        </w:tc>
      </w:tr>
      <w:tr w14:paraId="3A3E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930" w:hRule="atLeast"/>
          <w:tblCellSpacing w:w="15" w:type="dxa"/>
          <w:jc w:val="center"/>
        </w:trPr>
        <w:tc>
          <w:tcPr>
            <w:tcW w:w="469" w:type="dxa"/>
            <w:vMerge w:val="restart"/>
            <w:tcMar>
              <w:bottom w:w="0" w:type="dxa"/>
            </w:tcMar>
            <w:vAlign w:val="center"/>
          </w:tcPr>
          <w:p w14:paraId="0B027A5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rFonts w:ascii="宋体" w:hAnsi="宋体" w:cs="宋体"/>
                <w:highlight w:val="none"/>
              </w:rPr>
            </w:pPr>
            <w:r>
              <w:rPr>
                <w:rFonts w:hint="eastAsia" w:ascii="宋体" w:hAnsi="宋体" w:cs="宋体"/>
                <w:highlight w:val="none"/>
              </w:rPr>
              <w:t>文</w:t>
            </w:r>
          </w:p>
          <w:p w14:paraId="5C5874F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rFonts w:ascii="宋体" w:hAnsi="宋体" w:cs="宋体"/>
                <w:highlight w:val="none"/>
              </w:rPr>
            </w:pPr>
            <w:r>
              <w:rPr>
                <w:rFonts w:hint="eastAsia" w:ascii="宋体" w:hAnsi="宋体" w:cs="宋体"/>
                <w:highlight w:val="none"/>
              </w:rPr>
              <w:t>化</w:t>
            </w:r>
          </w:p>
          <w:p w14:paraId="55618A4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rFonts w:ascii="宋体" w:hAnsi="宋体" w:cs="宋体"/>
                <w:highlight w:val="none"/>
              </w:rPr>
            </w:pPr>
            <w:r>
              <w:rPr>
                <w:rFonts w:hint="eastAsia" w:ascii="宋体" w:hAnsi="宋体" w:cs="宋体"/>
                <w:highlight w:val="none"/>
              </w:rPr>
              <w:t>街</w:t>
            </w:r>
          </w:p>
          <w:p w14:paraId="5D1288C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区</w:t>
            </w:r>
          </w:p>
          <w:p w14:paraId="687EABEF">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公</w:t>
            </w:r>
          </w:p>
          <w:p w14:paraId="67E82448">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共</w:t>
            </w:r>
          </w:p>
          <w:p w14:paraId="0F42215C">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区</w:t>
            </w:r>
          </w:p>
          <w:p w14:paraId="32F2852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域</w:t>
            </w:r>
          </w:p>
        </w:tc>
        <w:tc>
          <w:tcPr>
            <w:tcW w:w="1233" w:type="dxa"/>
            <w:tcMar>
              <w:bottom w:w="0" w:type="dxa"/>
            </w:tcMar>
            <w:vAlign w:val="center"/>
          </w:tcPr>
          <w:p w14:paraId="7F84ABDF">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40"/>
              <w:textAlignment w:val="auto"/>
              <w:outlineLvl w:val="9"/>
              <w:rPr>
                <w:highlight w:val="none"/>
              </w:rPr>
            </w:pPr>
            <w:r>
              <w:rPr>
                <w:rFonts w:hint="eastAsia" w:ascii="宋体" w:hAnsi="宋体" w:cs="宋体"/>
                <w:highlight w:val="none"/>
              </w:rPr>
              <w:t>停车场</w:t>
            </w:r>
          </w:p>
        </w:tc>
        <w:tc>
          <w:tcPr>
            <w:tcW w:w="7972" w:type="dxa"/>
            <w:tcMar>
              <w:bottom w:w="0" w:type="dxa"/>
            </w:tcMar>
            <w:vAlign w:val="top"/>
          </w:tcPr>
          <w:p w14:paraId="3BC9A1B7">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1、车场使用功能正常可</w:t>
            </w:r>
            <w:r>
              <w:rPr>
                <w:rFonts w:hint="eastAsia" w:ascii="宋体" w:hAnsi="宋体" w:cs="宋体"/>
                <w:color w:val="000000"/>
                <w:highlight w:val="none"/>
              </w:rPr>
              <w:t>停靠；</w:t>
            </w:r>
          </w:p>
          <w:p w14:paraId="3EE9BCD3">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2、场地平整、无坑洼积水。</w:t>
            </w:r>
          </w:p>
          <w:p w14:paraId="11F5AD5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3、完好率达到98%以上。</w:t>
            </w:r>
          </w:p>
        </w:tc>
      </w:tr>
      <w:tr w14:paraId="6A2AB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630" w:hRule="atLeast"/>
          <w:tblCellSpacing w:w="15" w:type="dxa"/>
          <w:jc w:val="center"/>
        </w:trPr>
        <w:tc>
          <w:tcPr>
            <w:tcW w:w="469" w:type="dxa"/>
            <w:vMerge w:val="continue"/>
            <w:tcMar>
              <w:bottom w:w="0" w:type="dxa"/>
            </w:tcMar>
            <w:vAlign w:val="center"/>
          </w:tcPr>
          <w:p w14:paraId="6CB82F3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62A28A9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围墙、护栏等</w:t>
            </w:r>
          </w:p>
        </w:tc>
        <w:tc>
          <w:tcPr>
            <w:tcW w:w="7972" w:type="dxa"/>
            <w:tcMar>
              <w:bottom w:w="0" w:type="dxa"/>
            </w:tcMar>
            <w:vAlign w:val="center"/>
          </w:tcPr>
          <w:p w14:paraId="61DD1D3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使用正常安全可靠。</w:t>
            </w:r>
          </w:p>
        </w:tc>
      </w:tr>
      <w:tr w14:paraId="3D9E5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35" w:hRule="atLeast"/>
          <w:tblCellSpacing w:w="15" w:type="dxa"/>
          <w:jc w:val="center"/>
        </w:trPr>
        <w:tc>
          <w:tcPr>
            <w:tcW w:w="469" w:type="dxa"/>
            <w:vMerge w:val="continue"/>
            <w:tcMar>
              <w:bottom w:w="0" w:type="dxa"/>
            </w:tcMar>
            <w:vAlign w:val="center"/>
          </w:tcPr>
          <w:p w14:paraId="240153D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5FBB872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上下水管道及</w:t>
            </w:r>
          </w:p>
          <w:p w14:paraId="2A3517FD">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相关阀件</w:t>
            </w:r>
          </w:p>
        </w:tc>
        <w:tc>
          <w:tcPr>
            <w:tcW w:w="7972" w:type="dxa"/>
            <w:tcMar>
              <w:bottom w:w="0" w:type="dxa"/>
            </w:tcMar>
            <w:vAlign w:val="top"/>
          </w:tcPr>
          <w:p w14:paraId="56FAF6C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1、管理畅通、无渗漏水现象；</w:t>
            </w:r>
          </w:p>
          <w:p w14:paraId="7CC89A4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spacing w:val="-15"/>
                <w:highlight w:val="none"/>
              </w:rPr>
              <w:t>2、各阀件无跑、冒、滴、漏水现象</w:t>
            </w:r>
            <w:r>
              <w:rPr>
                <w:rFonts w:hint="eastAsia" w:ascii="宋体" w:hAnsi="宋体" w:cs="宋体"/>
                <w:highlight w:val="none"/>
              </w:rPr>
              <w:t>；</w:t>
            </w:r>
          </w:p>
          <w:p w14:paraId="5655050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3、完好率达到98%以上。</w:t>
            </w:r>
          </w:p>
        </w:tc>
      </w:tr>
      <w:tr w14:paraId="49A4A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vMerge w:val="continue"/>
            <w:tcMar>
              <w:bottom w:w="0" w:type="dxa"/>
            </w:tcMar>
            <w:vAlign w:val="center"/>
          </w:tcPr>
          <w:p w14:paraId="0CEB78B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27BA3CA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公共活动</w:t>
            </w:r>
          </w:p>
          <w:p w14:paraId="5A2B6AD7">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场所</w:t>
            </w:r>
          </w:p>
        </w:tc>
        <w:tc>
          <w:tcPr>
            <w:tcW w:w="7972" w:type="dxa"/>
            <w:tcMar>
              <w:bottom w:w="0" w:type="dxa"/>
            </w:tcMar>
            <w:vAlign w:val="top"/>
          </w:tcPr>
          <w:p w14:paraId="45CBC0DC">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1、文体场所使用功能正常，安全可靠；</w:t>
            </w:r>
          </w:p>
          <w:p w14:paraId="455EAE0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2、场所设施完好率99%。</w:t>
            </w:r>
          </w:p>
        </w:tc>
      </w:tr>
      <w:tr w14:paraId="696B8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vMerge w:val="continue"/>
            <w:tcMar>
              <w:bottom w:w="0" w:type="dxa"/>
            </w:tcMar>
            <w:vAlign w:val="center"/>
          </w:tcPr>
          <w:p w14:paraId="5478425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39073133">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消防栓及消防管道</w:t>
            </w:r>
          </w:p>
          <w:p w14:paraId="2E4CF6D3">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、轻便灭火器材等</w:t>
            </w:r>
          </w:p>
        </w:tc>
        <w:tc>
          <w:tcPr>
            <w:tcW w:w="7972" w:type="dxa"/>
            <w:tcMar>
              <w:bottom w:w="0" w:type="dxa"/>
            </w:tcMar>
            <w:vAlign w:val="top"/>
          </w:tcPr>
          <w:p w14:paraId="743984C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1、消防栓、轻便灭火器材使用功能正常可靠；</w:t>
            </w:r>
          </w:p>
          <w:p w14:paraId="2A44F40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w:t>
            </w:r>
            <w:r>
              <w:rPr>
                <w:rFonts w:hint="eastAsia" w:ascii="宋体" w:hAnsi="宋体" w:cs="宋体"/>
                <w:spacing w:val="-15"/>
                <w:highlight w:val="none"/>
              </w:rPr>
              <w:t>完好率为10</w:t>
            </w:r>
            <w:r>
              <w:rPr>
                <w:rFonts w:hint="eastAsia" w:ascii="宋体" w:hAnsi="宋体" w:cs="宋体"/>
                <w:highlight w:val="none"/>
              </w:rPr>
              <w:t>0%</w:t>
            </w:r>
          </w:p>
          <w:p w14:paraId="686EE7F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3、消防栓、消防管道等无渗水现象。</w:t>
            </w:r>
          </w:p>
        </w:tc>
      </w:tr>
      <w:tr w14:paraId="6BF9B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vMerge w:val="continue"/>
            <w:tcMar>
              <w:bottom w:w="0" w:type="dxa"/>
            </w:tcMar>
            <w:vAlign w:val="center"/>
          </w:tcPr>
          <w:p w14:paraId="3601401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7D360521">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消防通道</w:t>
            </w:r>
          </w:p>
        </w:tc>
        <w:tc>
          <w:tcPr>
            <w:tcW w:w="7972" w:type="dxa"/>
            <w:tcMar>
              <w:bottom w:w="0" w:type="dxa"/>
            </w:tcMar>
            <w:vAlign w:val="top"/>
          </w:tcPr>
          <w:p w14:paraId="4FBC44A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1、平整、无坑洼积水，完好率达到98%以上；</w:t>
            </w:r>
          </w:p>
          <w:p w14:paraId="65CEA5C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2、确保区内消防通道使用功能正常可靠、无安全隐患。</w:t>
            </w:r>
          </w:p>
        </w:tc>
      </w:tr>
      <w:tr w14:paraId="07625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90" w:hRule="atLeast"/>
          <w:tblCellSpacing w:w="15" w:type="dxa"/>
          <w:jc w:val="center"/>
        </w:trPr>
        <w:tc>
          <w:tcPr>
            <w:tcW w:w="469" w:type="dxa"/>
            <w:vMerge w:val="continue"/>
            <w:tcMar>
              <w:bottom w:w="0" w:type="dxa"/>
            </w:tcMar>
            <w:vAlign w:val="center"/>
          </w:tcPr>
          <w:p w14:paraId="3750FEA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38E8A368">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公用标识设施</w:t>
            </w:r>
          </w:p>
        </w:tc>
        <w:tc>
          <w:tcPr>
            <w:tcW w:w="7972" w:type="dxa"/>
            <w:tcMar>
              <w:bottom w:w="0" w:type="dxa"/>
            </w:tcMar>
            <w:vAlign w:val="top"/>
          </w:tcPr>
          <w:p w14:paraId="28C908B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1、标识清晰美观；</w:t>
            </w:r>
          </w:p>
          <w:p w14:paraId="69D8845F">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2、安装牢固可靠；</w:t>
            </w:r>
          </w:p>
          <w:p w14:paraId="777D4F6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3、完好率达到98%以上。</w:t>
            </w:r>
          </w:p>
        </w:tc>
      </w:tr>
      <w:tr w14:paraId="0D81D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vMerge w:val="continue"/>
            <w:tcMar>
              <w:bottom w:w="0" w:type="dxa"/>
            </w:tcMar>
            <w:vAlign w:val="center"/>
          </w:tcPr>
          <w:p w14:paraId="02B2F7E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3FE032D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防避雷系统</w:t>
            </w:r>
          </w:p>
        </w:tc>
        <w:tc>
          <w:tcPr>
            <w:tcW w:w="7972" w:type="dxa"/>
            <w:tcMar>
              <w:bottom w:w="0" w:type="dxa"/>
            </w:tcMar>
            <w:vAlign w:val="top"/>
          </w:tcPr>
          <w:p w14:paraId="4CA6CB4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1、确保系统正常使用；</w:t>
            </w:r>
          </w:p>
          <w:p w14:paraId="53CA25F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2、系统完好率100%；</w:t>
            </w:r>
          </w:p>
          <w:p w14:paraId="030E809B">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3、接地阻值符合GB50169-92要求。</w:t>
            </w:r>
          </w:p>
        </w:tc>
      </w:tr>
      <w:tr w14:paraId="21D4B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vMerge w:val="restart"/>
            <w:tcMar>
              <w:top w:w="0" w:type="dxa"/>
              <w:left w:w="0" w:type="dxa"/>
              <w:bottom w:w="0" w:type="dxa"/>
              <w:right w:w="0" w:type="dxa"/>
            </w:tcMar>
            <w:vAlign w:val="center"/>
          </w:tcPr>
          <w:p w14:paraId="6AA2DDDC">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公</w:t>
            </w:r>
          </w:p>
          <w:p w14:paraId="3F25147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共</w:t>
            </w:r>
          </w:p>
          <w:p w14:paraId="0364EDA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设</w:t>
            </w:r>
          </w:p>
          <w:p w14:paraId="5F80F216">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center"/>
              <w:textAlignment w:val="auto"/>
              <w:outlineLvl w:val="9"/>
              <w:rPr>
                <w:highlight w:val="none"/>
              </w:rPr>
            </w:pPr>
            <w:r>
              <w:rPr>
                <w:rFonts w:hint="eastAsia" w:ascii="宋体" w:hAnsi="宋体" w:cs="宋体"/>
                <w:highlight w:val="none"/>
              </w:rPr>
              <w:t>施</w:t>
            </w:r>
          </w:p>
        </w:tc>
        <w:tc>
          <w:tcPr>
            <w:tcW w:w="1233" w:type="dxa"/>
            <w:tcMar>
              <w:bottom w:w="0" w:type="dxa"/>
            </w:tcMar>
            <w:vAlign w:val="center"/>
          </w:tcPr>
          <w:p w14:paraId="1608B427">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化粪池排污管井</w:t>
            </w:r>
          </w:p>
        </w:tc>
        <w:tc>
          <w:tcPr>
            <w:tcW w:w="7972" w:type="dxa"/>
            <w:tcMar>
              <w:bottom w:w="0" w:type="dxa"/>
            </w:tcMar>
            <w:vAlign w:val="top"/>
          </w:tcPr>
          <w:p w14:paraId="6A085B5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1、确保系统正常可靠；</w:t>
            </w:r>
          </w:p>
          <w:p w14:paraId="167977BD">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2、污水排放符合国家环保标准；</w:t>
            </w:r>
          </w:p>
          <w:p w14:paraId="7A801C3C">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3、完好率达到99%。</w:t>
            </w:r>
          </w:p>
        </w:tc>
      </w:tr>
      <w:tr w14:paraId="288DF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630" w:hRule="atLeast"/>
          <w:tblCellSpacing w:w="15" w:type="dxa"/>
          <w:jc w:val="center"/>
        </w:trPr>
        <w:tc>
          <w:tcPr>
            <w:tcW w:w="469" w:type="dxa"/>
            <w:vMerge w:val="continue"/>
            <w:tcMar>
              <w:top w:w="0" w:type="dxa"/>
              <w:left w:w="0" w:type="dxa"/>
              <w:bottom w:w="0" w:type="dxa"/>
              <w:right w:w="0" w:type="dxa"/>
            </w:tcMar>
            <w:vAlign w:val="center"/>
          </w:tcPr>
          <w:p w14:paraId="2659819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345B176E">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道闸系统</w:t>
            </w:r>
          </w:p>
        </w:tc>
        <w:tc>
          <w:tcPr>
            <w:tcW w:w="7972" w:type="dxa"/>
            <w:tcMar>
              <w:bottom w:w="0" w:type="dxa"/>
            </w:tcMar>
            <w:vAlign w:val="top"/>
          </w:tcPr>
          <w:p w14:paraId="2E8E8FF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运行正常，设备安全、可靠运行；停电时，保证手动摇</w:t>
            </w:r>
          </w:p>
          <w:p w14:paraId="19E48195">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 xml:space="preserve">顺利。 </w:t>
            </w:r>
          </w:p>
        </w:tc>
      </w:tr>
      <w:tr w14:paraId="1125A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vMerge w:val="continue"/>
            <w:tcMar>
              <w:top w:w="0" w:type="dxa"/>
              <w:left w:w="0" w:type="dxa"/>
              <w:bottom w:w="0" w:type="dxa"/>
              <w:right w:w="0" w:type="dxa"/>
            </w:tcMar>
            <w:vAlign w:val="center"/>
          </w:tcPr>
          <w:p w14:paraId="1934D377">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rFonts w:ascii="宋体"/>
                <w:sz w:val="24"/>
                <w:szCs w:val="24"/>
                <w:highlight w:val="none"/>
              </w:rPr>
            </w:pPr>
          </w:p>
        </w:tc>
        <w:tc>
          <w:tcPr>
            <w:tcW w:w="1233" w:type="dxa"/>
            <w:tcMar>
              <w:bottom w:w="0" w:type="dxa"/>
            </w:tcMar>
            <w:vAlign w:val="center"/>
          </w:tcPr>
          <w:p w14:paraId="24AC5BC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智能化系统</w:t>
            </w:r>
          </w:p>
        </w:tc>
        <w:tc>
          <w:tcPr>
            <w:tcW w:w="7972" w:type="dxa"/>
            <w:tcMar>
              <w:bottom w:w="0" w:type="dxa"/>
            </w:tcMar>
            <w:vAlign w:val="top"/>
          </w:tcPr>
          <w:p w14:paraId="10104C5F">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1、确保系统正常使用；</w:t>
            </w:r>
          </w:p>
          <w:p w14:paraId="68CC81A4">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2、系统完好率100%；</w:t>
            </w:r>
          </w:p>
          <w:p w14:paraId="5FDDA5B3">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3、</w:t>
            </w:r>
            <w:r>
              <w:rPr>
                <w:rFonts w:hint="eastAsia" w:ascii="宋体" w:hAnsi="宋体" w:cs="宋体"/>
                <w:color w:val="000000"/>
                <w:highlight w:val="none"/>
              </w:rPr>
              <w:t>每月保养一次，出现故障随时修复；各探头焦距适度、无灰尘、无异常，显示清晰，防尘罩密封良好。</w:t>
            </w:r>
          </w:p>
        </w:tc>
      </w:tr>
      <w:tr w14:paraId="51FDA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tcMar>
              <w:top w:w="0" w:type="dxa"/>
              <w:left w:w="0" w:type="dxa"/>
              <w:bottom w:w="0" w:type="dxa"/>
              <w:right w:w="0" w:type="dxa"/>
            </w:tcMar>
            <w:vAlign w:val="center"/>
          </w:tcPr>
          <w:p w14:paraId="5A80FE3F">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left"/>
              <w:textAlignment w:val="auto"/>
              <w:outlineLvl w:val="9"/>
              <w:rPr>
                <w:highlight w:val="none"/>
              </w:rPr>
            </w:pPr>
          </w:p>
        </w:tc>
        <w:tc>
          <w:tcPr>
            <w:tcW w:w="1233" w:type="dxa"/>
            <w:tcMar>
              <w:bottom w:w="0" w:type="dxa"/>
            </w:tcMar>
            <w:vAlign w:val="center"/>
          </w:tcPr>
          <w:p w14:paraId="76BEF3F2">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共用照明、楼道灯、景观灯及路灯</w:t>
            </w:r>
          </w:p>
        </w:tc>
        <w:tc>
          <w:tcPr>
            <w:tcW w:w="7972" w:type="dxa"/>
            <w:tcMar>
              <w:bottom w:w="0" w:type="dxa"/>
            </w:tcMar>
            <w:vAlign w:val="center"/>
          </w:tcPr>
          <w:p w14:paraId="590E6039">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color w:val="000000"/>
                <w:highlight w:val="none"/>
              </w:rPr>
              <w:t>楼道灯、路灯等每日至少巡查一次，发现损坏及时检修，室内外所有发光灯具按原配置标准随坏随修。</w:t>
            </w:r>
          </w:p>
        </w:tc>
      </w:tr>
      <w:tr w14:paraId="771E7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cantSplit/>
          <w:trHeight w:val="195" w:hRule="atLeast"/>
          <w:tblCellSpacing w:w="15" w:type="dxa"/>
          <w:jc w:val="center"/>
        </w:trPr>
        <w:tc>
          <w:tcPr>
            <w:tcW w:w="469" w:type="dxa"/>
            <w:tcMar>
              <w:top w:w="0" w:type="dxa"/>
              <w:left w:w="0" w:type="dxa"/>
              <w:bottom w:w="0" w:type="dxa"/>
              <w:right w:w="0" w:type="dxa"/>
            </w:tcMar>
            <w:vAlign w:val="center"/>
          </w:tcPr>
          <w:p w14:paraId="420AAAC4">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jc w:val="left"/>
              <w:textAlignment w:val="auto"/>
              <w:outlineLvl w:val="9"/>
              <w:rPr>
                <w:highlight w:val="none"/>
              </w:rPr>
            </w:pPr>
          </w:p>
        </w:tc>
        <w:tc>
          <w:tcPr>
            <w:tcW w:w="1233" w:type="dxa"/>
            <w:tcMar>
              <w:bottom w:w="0" w:type="dxa"/>
            </w:tcMar>
            <w:vAlign w:val="center"/>
          </w:tcPr>
          <w:p w14:paraId="4EF241D0">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供配电系统</w:t>
            </w:r>
          </w:p>
        </w:tc>
        <w:tc>
          <w:tcPr>
            <w:tcW w:w="7972" w:type="dxa"/>
            <w:tcMar>
              <w:bottom w:w="0" w:type="dxa"/>
            </w:tcMar>
            <w:vAlign w:val="center"/>
          </w:tcPr>
          <w:p w14:paraId="027BA4DA">
            <w:pPr>
              <w:pStyle w:val="10"/>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textAlignment w:val="auto"/>
              <w:outlineLvl w:val="9"/>
              <w:rPr>
                <w:highlight w:val="none"/>
              </w:rPr>
            </w:pPr>
            <w:r>
              <w:rPr>
                <w:rFonts w:hint="eastAsia" w:ascii="宋体" w:hAnsi="宋体" w:cs="宋体"/>
                <w:highlight w:val="none"/>
              </w:rPr>
              <w:t>安全运行正常进行高、低压配电值班操作和24小时值守</w:t>
            </w:r>
          </w:p>
        </w:tc>
      </w:tr>
    </w:tbl>
    <w:p w14:paraId="576B2DE4">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hint="eastAsia" w:ascii="宋体" w:hAnsi="宋体"/>
          <w:b/>
          <w:sz w:val="24"/>
          <w:szCs w:val="24"/>
          <w:highlight w:val="none"/>
        </w:rPr>
      </w:pPr>
    </w:p>
    <w:p w14:paraId="1FED6390">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b/>
          <w:sz w:val="24"/>
          <w:szCs w:val="24"/>
          <w:highlight w:val="none"/>
        </w:rPr>
      </w:pPr>
      <w:r>
        <w:rPr>
          <w:rFonts w:hint="eastAsia" w:ascii="宋体" w:hAnsi="宋体"/>
          <w:b/>
          <w:sz w:val="24"/>
          <w:szCs w:val="24"/>
          <w:highlight w:val="none"/>
        </w:rPr>
        <w:t>第三节   服务费用</w:t>
      </w:r>
    </w:p>
    <w:p w14:paraId="4E23B0DD">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3.1以下费用由物业公司（物业管理方）承担：</w:t>
      </w:r>
    </w:p>
    <w:p w14:paraId="0FE557AB">
      <w:pPr>
        <w:keepNext w:val="0"/>
        <w:keepLines w:val="0"/>
        <w:pageBreakBefore w:val="0"/>
        <w:kinsoku/>
        <w:overflowPunct/>
        <w:topLinePunct w:val="0"/>
        <w:autoSpaceDN/>
        <w:bidi w:val="0"/>
        <w:adjustRightInd/>
        <w:snapToGrid w:val="0"/>
        <w:spacing w:beforeAutospacing="0" w:afterAutospacing="0" w:line="240" w:lineRule="auto"/>
        <w:ind w:left="353" w:right="0" w:rightChars="0" w:hanging="352" w:hangingChars="147"/>
        <w:outlineLvl w:val="9"/>
        <w:rPr>
          <w:rFonts w:ascii="宋体" w:hAnsi="宋体"/>
          <w:sz w:val="24"/>
          <w:szCs w:val="24"/>
          <w:highlight w:val="none"/>
        </w:rPr>
      </w:pPr>
      <w:r>
        <w:rPr>
          <w:rFonts w:hint="eastAsia" w:ascii="宋体" w:hAnsi="宋体"/>
          <w:sz w:val="24"/>
          <w:szCs w:val="24"/>
          <w:highlight w:val="none"/>
        </w:rPr>
        <w:t>1）办公设备（电脑、打印机、电话机、办公桌椅、沙发椅及茶几、文件柜、1匹空调柜机、饮水机等）；</w:t>
      </w:r>
    </w:p>
    <w:p w14:paraId="139DE72C">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2）维修设备（管道疏通机</w:t>
      </w:r>
      <w:r>
        <w:rPr>
          <w:rFonts w:ascii="宋体" w:hAnsi="宋体"/>
          <w:sz w:val="24"/>
          <w:szCs w:val="24"/>
          <w:highlight w:val="none"/>
        </w:rPr>
        <w:t xml:space="preserve"> </w:t>
      </w:r>
      <w:r>
        <w:rPr>
          <w:rFonts w:hint="eastAsia" w:ascii="宋体" w:hAnsi="宋体"/>
          <w:sz w:val="24"/>
          <w:szCs w:val="24"/>
          <w:highlight w:val="none"/>
        </w:rPr>
        <w:t>冲击钻、电钻、电焊机、铝合金人字梯等）；</w:t>
      </w:r>
    </w:p>
    <w:p w14:paraId="71538B38">
      <w:pPr>
        <w:keepNext w:val="0"/>
        <w:keepLines w:val="0"/>
        <w:pageBreakBefore w:val="0"/>
        <w:kinsoku/>
        <w:overflowPunct/>
        <w:topLinePunct w:val="0"/>
        <w:autoSpaceDN/>
        <w:bidi w:val="0"/>
        <w:adjustRightInd/>
        <w:snapToGrid w:val="0"/>
        <w:spacing w:beforeAutospacing="0" w:afterAutospacing="0" w:line="240" w:lineRule="auto"/>
        <w:ind w:left="353" w:right="0" w:rightChars="0" w:hanging="352" w:hangingChars="147"/>
        <w:outlineLvl w:val="9"/>
        <w:rPr>
          <w:rFonts w:ascii="宋体" w:hAnsi="宋体"/>
          <w:sz w:val="24"/>
          <w:szCs w:val="24"/>
          <w:highlight w:val="none"/>
        </w:rPr>
      </w:pPr>
      <w:r>
        <w:rPr>
          <w:rFonts w:hint="eastAsia" w:ascii="宋体" w:hAnsi="宋体"/>
          <w:sz w:val="24"/>
          <w:szCs w:val="24"/>
          <w:highlight w:val="none"/>
        </w:rPr>
        <w:t>3）宿舍用品（双层铁床、吊扇、椅子等）；</w:t>
      </w:r>
    </w:p>
    <w:p w14:paraId="47FCD065">
      <w:pPr>
        <w:keepNext w:val="0"/>
        <w:keepLines w:val="0"/>
        <w:pageBreakBefore w:val="0"/>
        <w:kinsoku/>
        <w:overflowPunct/>
        <w:topLinePunct w:val="0"/>
        <w:autoSpaceDN/>
        <w:bidi w:val="0"/>
        <w:adjustRightInd/>
        <w:snapToGrid w:val="0"/>
        <w:spacing w:beforeAutospacing="0" w:afterAutospacing="0" w:line="240" w:lineRule="auto"/>
        <w:ind w:left="353" w:right="0" w:rightChars="0" w:hanging="352" w:hangingChars="147"/>
        <w:outlineLvl w:val="9"/>
        <w:rPr>
          <w:rFonts w:ascii="宋体" w:hAnsi="宋体"/>
          <w:sz w:val="24"/>
          <w:szCs w:val="24"/>
          <w:highlight w:val="none"/>
        </w:rPr>
      </w:pPr>
      <w:r>
        <w:rPr>
          <w:rFonts w:hint="eastAsia" w:ascii="宋体" w:hAnsi="宋体"/>
          <w:sz w:val="24"/>
          <w:szCs w:val="24"/>
          <w:highlight w:val="none"/>
        </w:rPr>
        <w:t>4）保洁器具（道路清扫车、垃圾清运车、抛光机、烘干机及日常工具等，垃圾桶由招标人提供）；</w:t>
      </w:r>
    </w:p>
    <w:p w14:paraId="19EB9F45">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5）急救用具（防毒面具、软绳梯、急救包等）；</w:t>
      </w:r>
    </w:p>
    <w:p w14:paraId="298F2729">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6）保安用品等（对讲机、警械、疏散照明灯）；</w:t>
      </w:r>
    </w:p>
    <w:p w14:paraId="458218DA">
      <w:pPr>
        <w:keepNext w:val="0"/>
        <w:keepLines w:val="0"/>
        <w:pageBreakBefore w:val="0"/>
        <w:kinsoku/>
        <w:overflowPunct/>
        <w:topLinePunct w:val="0"/>
        <w:autoSpaceDN/>
        <w:bidi w:val="0"/>
        <w:adjustRightInd/>
        <w:snapToGrid w:val="0"/>
        <w:spacing w:beforeAutospacing="0" w:afterAutospacing="0" w:line="240" w:lineRule="auto"/>
        <w:ind w:left="353" w:right="0" w:rightChars="0" w:hanging="352" w:hangingChars="147"/>
        <w:outlineLvl w:val="9"/>
        <w:rPr>
          <w:rFonts w:ascii="宋体" w:hAnsi="宋体"/>
          <w:sz w:val="24"/>
          <w:szCs w:val="24"/>
          <w:highlight w:val="none"/>
        </w:rPr>
      </w:pPr>
      <w:r>
        <w:rPr>
          <w:rFonts w:hint="eastAsia" w:ascii="宋体" w:hAnsi="宋体"/>
          <w:sz w:val="24"/>
          <w:szCs w:val="24"/>
          <w:highlight w:val="none"/>
        </w:rPr>
        <w:t>7) 保洁费用（包括清运费、消毒剂、清洁剂、卫生间洗手液、香皂费用、清洁水池、下水道的疏通、保洁工具等）；</w:t>
      </w:r>
    </w:p>
    <w:p w14:paraId="52BF79CE">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8) 化粪池清掏费；</w:t>
      </w:r>
    </w:p>
    <w:p w14:paraId="29C6F00F">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9) 值班室的管理（含卫生和被褥的更换）；</w:t>
      </w:r>
    </w:p>
    <w:p w14:paraId="1E254E86">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10) 各类会议室的卫生等管理；</w:t>
      </w:r>
    </w:p>
    <w:p w14:paraId="43E6E617">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11) 所有物业人员的薪资、五险一金、服装、伙食和住宿及配合街区有遇上级检查或街区举办活动时产生的物业增加人员加班费用；</w:t>
      </w:r>
    </w:p>
    <w:p w14:paraId="001E5B62">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12）</w:t>
      </w:r>
      <w:r>
        <w:rPr>
          <w:rFonts w:hint="eastAsia" w:ascii="宋体" w:hAnsi="宋体" w:cs="仿宋"/>
          <w:sz w:val="24"/>
          <w:highlight w:val="none"/>
        </w:rPr>
        <w:t>物业管理办公费（包括电话费）和服务中损坏物赔偿费；</w:t>
      </w:r>
    </w:p>
    <w:p w14:paraId="275AE6DA">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13）所有物业人员的人身安全责任由物业公司承担。</w:t>
      </w:r>
    </w:p>
    <w:p w14:paraId="2F1B095A">
      <w:pPr>
        <w:pStyle w:val="2"/>
        <w:keepNext w:val="0"/>
        <w:keepLines w:val="0"/>
        <w:pageBreakBefore w:val="0"/>
        <w:kinsoku/>
        <w:overflowPunct/>
        <w:topLinePunct w:val="0"/>
        <w:autoSpaceDN/>
        <w:bidi w:val="0"/>
        <w:adjustRightInd/>
        <w:snapToGrid w:val="0"/>
        <w:spacing w:before="0" w:beforeAutospacing="0" w:afterAutospacing="0" w:line="240" w:lineRule="auto"/>
        <w:ind w:right="0" w:rightChars="0"/>
        <w:outlineLvl w:val="9"/>
        <w:rPr>
          <w:color w:val="auto"/>
          <w:highlight w:val="none"/>
        </w:rPr>
      </w:pPr>
      <w:r>
        <w:rPr>
          <w:rFonts w:hint="eastAsia"/>
          <w:color w:val="auto"/>
          <w:highlight w:val="none"/>
        </w:rPr>
        <w:t>14）物业公司为履行其职责所应支出的其他费用。</w:t>
      </w:r>
    </w:p>
    <w:p w14:paraId="4ADF7639">
      <w:pPr>
        <w:keepNext w:val="0"/>
        <w:keepLines w:val="0"/>
        <w:pageBreakBefore w:val="0"/>
        <w:kinsoku/>
        <w:overflowPunct/>
        <w:topLinePunct w:val="0"/>
        <w:autoSpaceDN/>
        <w:bidi w:val="0"/>
        <w:adjustRightInd/>
        <w:snapToGrid w:val="0"/>
        <w:spacing w:beforeAutospacing="0" w:afterAutospacing="0" w:line="240" w:lineRule="auto"/>
        <w:ind w:right="0" w:rightChars="0"/>
        <w:outlineLvl w:val="9"/>
        <w:rPr>
          <w:rFonts w:ascii="宋体" w:hAnsi="宋体"/>
          <w:sz w:val="24"/>
          <w:szCs w:val="24"/>
          <w:highlight w:val="none"/>
        </w:rPr>
      </w:pPr>
      <w:r>
        <w:rPr>
          <w:rFonts w:hint="eastAsia" w:ascii="宋体" w:hAnsi="宋体"/>
          <w:sz w:val="24"/>
          <w:szCs w:val="24"/>
          <w:highlight w:val="none"/>
        </w:rPr>
        <w:t>3.2甲方经招标人与物业公司协商一致，属于招标人应承担的费用，由物业公司在管理过程中向招标人指定人员提出申请并附预算，招标人指定人员负责核实所需费用，同意后方可实施，如招标人无法同意该预算的，物业公司应在不涉及费用的情况尽可能帮助招标人完成该项目。</w:t>
      </w:r>
    </w:p>
    <w:p w14:paraId="0045602E">
      <w:pPr>
        <w:keepNext w:val="0"/>
        <w:keepLines w:val="0"/>
        <w:pageBreakBefore w:val="0"/>
        <w:kinsoku/>
        <w:overflowPunct/>
        <w:topLinePunct w:val="0"/>
        <w:autoSpaceDN/>
        <w:bidi w:val="0"/>
        <w:adjustRightInd/>
        <w:snapToGrid w:val="0"/>
        <w:spacing w:line="240" w:lineRule="auto"/>
        <w:ind w:right="0" w:rightChars="0"/>
        <w:outlineLvl w:val="9"/>
        <w:rPr>
          <w:rFonts w:hint="eastAsia" w:eastAsiaTheme="minorEastAsia"/>
          <w:lang w:eastAsia="zh-CN"/>
        </w:rPr>
      </w:pPr>
    </w:p>
    <w:p w14:paraId="174C5FA3">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第四节 物业管理考核方案</w:t>
      </w:r>
    </w:p>
    <w:p w14:paraId="162B57BC">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___年___月___日</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___年___月___日</w:t>
      </w:r>
      <w:r>
        <w:rPr>
          <w:rFonts w:hint="eastAsia" w:ascii="宋体" w:hAnsi="宋体" w:eastAsia="宋体" w:cs="宋体"/>
          <w:b/>
          <w:bCs/>
          <w:kern w:val="0"/>
          <w:sz w:val="24"/>
          <w:szCs w:val="24"/>
          <w:highlight w:val="none"/>
          <w:lang w:val="en-US" w:eastAsia="zh-CN" w:bidi="ar-SA"/>
        </w:rPr>
        <w:t>）</w:t>
      </w:r>
    </w:p>
    <w:p w14:paraId="2E6A48A6">
      <w:pPr>
        <w:keepNext w:val="0"/>
        <w:keepLines w:val="0"/>
        <w:pageBreakBefore w:val="0"/>
        <w:widowControl/>
        <w:kinsoku/>
        <w:overflowPunct/>
        <w:topLinePunct w:val="0"/>
        <w:bidi w:val="0"/>
        <w:adjustRightInd/>
        <w:snapToGrid/>
        <w:spacing w:beforeAutospacing="0" w:afterAutospacing="0" w:line="400" w:lineRule="exact"/>
        <w:ind w:firstLine="493"/>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___年___月___日办公室、物业管理处组织相关人员，依据《物业服务合同》、《兴化府历史文化街区物业管理监督考核办法》、《兴化府历史文化街区物业管理定期沟通协调机制》等制度，对当月物业管理处的工作情况进行考核评分，结合各项评分内容，当月度物业管理考核得分为</w:t>
      </w:r>
      <w:r>
        <w:rPr>
          <w:rFonts w:hint="eastAsia" w:ascii="宋体" w:hAnsi="宋体" w:eastAsia="宋体" w:cs="宋体"/>
          <w:kern w:val="0"/>
          <w:sz w:val="24"/>
          <w:szCs w:val="24"/>
          <w:highlight w:val="none"/>
          <w:u w:val="single"/>
          <w:lang w:val="en-US" w:eastAsia="zh-CN" w:bidi="ar-SA"/>
        </w:rPr>
        <w:t> </w:t>
      </w:r>
      <w:r>
        <w:rPr>
          <w:rFonts w:hint="eastAsia" w:ascii="宋体" w:hAnsi="宋体" w:eastAsia="宋体" w:cs="宋体"/>
          <w:kern w:val="0"/>
          <w:sz w:val="24"/>
          <w:szCs w:val="24"/>
          <w:highlight w:val="none"/>
          <w:lang w:val="en-US" w:eastAsia="zh-CN" w:bidi="ar-SA"/>
        </w:rPr>
        <w:t>分，物业管理处___年__月__日到___年__月__日考核等次为合格。考核内容如下：</w:t>
      </w:r>
    </w:p>
    <w:tbl>
      <w:tblPr>
        <w:tblStyle w:val="13"/>
        <w:tblW w:w="9908" w:type="dxa"/>
        <w:tblCellSpacing w:w="1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1474"/>
        <w:gridCol w:w="7208"/>
        <w:gridCol w:w="570"/>
        <w:gridCol w:w="656"/>
      </w:tblGrid>
      <w:tr w14:paraId="499DA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tcBorders>
              <w:tl2br w:val="nil"/>
              <w:tr2bl w:val="nil"/>
            </w:tcBorders>
            <w:noWrap w:val="0"/>
            <w:tcMar>
              <w:top w:w="0" w:type="dxa"/>
              <w:left w:w="90" w:type="dxa"/>
              <w:bottom w:w="0" w:type="dxa"/>
              <w:right w:w="90" w:type="dxa"/>
            </w:tcMar>
            <w:vAlign w:val="center"/>
          </w:tcPr>
          <w:p w14:paraId="1FDD462C">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项目</w:t>
            </w:r>
          </w:p>
        </w:tc>
        <w:tc>
          <w:tcPr>
            <w:tcW w:w="7178" w:type="dxa"/>
            <w:tcBorders>
              <w:tl2br w:val="nil"/>
              <w:tr2bl w:val="nil"/>
            </w:tcBorders>
            <w:noWrap w:val="0"/>
            <w:tcMar>
              <w:top w:w="0" w:type="dxa"/>
              <w:left w:w="90" w:type="dxa"/>
              <w:bottom w:w="0" w:type="dxa"/>
              <w:right w:w="90" w:type="dxa"/>
            </w:tcMar>
            <w:vAlign w:val="center"/>
          </w:tcPr>
          <w:p w14:paraId="46DF5ECF">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内容</w:t>
            </w:r>
          </w:p>
        </w:tc>
        <w:tc>
          <w:tcPr>
            <w:tcW w:w="540" w:type="dxa"/>
            <w:tcBorders>
              <w:tl2br w:val="nil"/>
              <w:tr2bl w:val="nil"/>
            </w:tcBorders>
            <w:noWrap w:val="0"/>
            <w:tcMar>
              <w:top w:w="0" w:type="dxa"/>
              <w:left w:w="90" w:type="dxa"/>
              <w:bottom w:w="0" w:type="dxa"/>
              <w:right w:w="90" w:type="dxa"/>
            </w:tcMar>
            <w:vAlign w:val="center"/>
          </w:tcPr>
          <w:p w14:paraId="0BBAC15A">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扣分</w:t>
            </w:r>
          </w:p>
        </w:tc>
        <w:tc>
          <w:tcPr>
            <w:tcW w:w="611" w:type="dxa"/>
            <w:tcBorders>
              <w:tl2br w:val="nil"/>
              <w:tr2bl w:val="nil"/>
            </w:tcBorders>
            <w:noWrap w:val="0"/>
            <w:tcMar>
              <w:top w:w="0" w:type="dxa"/>
              <w:left w:w="90" w:type="dxa"/>
              <w:bottom w:w="0" w:type="dxa"/>
              <w:right w:w="90" w:type="dxa"/>
            </w:tcMar>
            <w:vAlign w:val="center"/>
          </w:tcPr>
          <w:p w14:paraId="54A4C71E">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备注</w:t>
            </w:r>
          </w:p>
        </w:tc>
      </w:tr>
      <w:tr w14:paraId="398CF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restart"/>
            <w:tcBorders>
              <w:tl2br w:val="nil"/>
              <w:tr2bl w:val="nil"/>
            </w:tcBorders>
            <w:noWrap w:val="0"/>
            <w:tcMar>
              <w:top w:w="0" w:type="dxa"/>
              <w:left w:w="90" w:type="dxa"/>
              <w:bottom w:w="0" w:type="dxa"/>
              <w:right w:w="90" w:type="dxa"/>
            </w:tcMar>
            <w:vAlign w:val="center"/>
          </w:tcPr>
          <w:p w14:paraId="5B948033">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一、物业从 业人员监管</w:t>
            </w:r>
          </w:p>
          <w:p w14:paraId="2FF735E1">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(10分)</w:t>
            </w:r>
          </w:p>
        </w:tc>
        <w:tc>
          <w:tcPr>
            <w:tcW w:w="7178" w:type="dxa"/>
            <w:tcBorders>
              <w:tl2br w:val="nil"/>
              <w:tr2bl w:val="nil"/>
            </w:tcBorders>
            <w:noWrap w:val="0"/>
            <w:tcMar>
              <w:top w:w="0" w:type="dxa"/>
              <w:left w:w="90" w:type="dxa"/>
              <w:bottom w:w="0" w:type="dxa"/>
              <w:right w:w="90" w:type="dxa"/>
            </w:tcMar>
            <w:vAlign w:val="top"/>
          </w:tcPr>
          <w:p w14:paraId="01D04AF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1.物业管理公司必须严格履行承诺，配足物业服务人员，发现少1人次扣1分,并要整改到位，若不整改的，则将从物业费中扣除缺少人员的一个月工资。</w:t>
            </w:r>
          </w:p>
        </w:tc>
        <w:tc>
          <w:tcPr>
            <w:tcW w:w="540" w:type="dxa"/>
            <w:tcBorders>
              <w:tl2br w:val="nil"/>
              <w:tr2bl w:val="nil"/>
            </w:tcBorders>
            <w:noWrap w:val="0"/>
            <w:tcMar>
              <w:top w:w="0" w:type="dxa"/>
              <w:left w:w="90" w:type="dxa"/>
              <w:bottom w:w="0" w:type="dxa"/>
              <w:right w:w="90" w:type="dxa"/>
            </w:tcMar>
            <w:vAlign w:val="top"/>
          </w:tcPr>
          <w:p w14:paraId="1589EA1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E05DF8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947F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272D281E">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7F02B5E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2.安保人员应服从命令，听从指挥；精神饱满，着装整齐；文明服务、礼貌待人。行、立、坐按规范标准。不符合要求且指出后拒不改正的，每人次扣0.5分。</w:t>
            </w:r>
          </w:p>
        </w:tc>
        <w:tc>
          <w:tcPr>
            <w:tcW w:w="540" w:type="dxa"/>
            <w:tcBorders>
              <w:tl2br w:val="nil"/>
              <w:tr2bl w:val="nil"/>
            </w:tcBorders>
            <w:noWrap w:val="0"/>
            <w:tcMar>
              <w:top w:w="0" w:type="dxa"/>
              <w:left w:w="90" w:type="dxa"/>
              <w:bottom w:w="0" w:type="dxa"/>
              <w:right w:w="90" w:type="dxa"/>
            </w:tcMar>
            <w:vAlign w:val="center"/>
          </w:tcPr>
          <w:p w14:paraId="3E33F4B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2527B4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230B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3C073CD">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A497A9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3.机电等人员必须持证上岗，具备相应的专业资质，不符合要求的每人次扣1分。</w:t>
            </w:r>
          </w:p>
        </w:tc>
        <w:tc>
          <w:tcPr>
            <w:tcW w:w="540" w:type="dxa"/>
            <w:tcBorders>
              <w:tl2br w:val="nil"/>
              <w:tr2bl w:val="nil"/>
            </w:tcBorders>
            <w:noWrap w:val="0"/>
            <w:tcMar>
              <w:top w:w="0" w:type="dxa"/>
              <w:left w:w="90" w:type="dxa"/>
              <w:bottom w:w="0" w:type="dxa"/>
              <w:right w:w="90" w:type="dxa"/>
            </w:tcMar>
            <w:vAlign w:val="top"/>
          </w:tcPr>
          <w:p w14:paraId="2A44DC9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1539F54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1093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AA07651">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C4B909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4.安保人员必须优先从退伍军人中选拔，具有一定的军事素质和安保技能，初中以上文化水平，年龄50 周岁以下，身高165CM以上，并在其户口所在地的公安机关政审合格后方能录用。不符合要求的，每人次扣1分，并要求立即整改。</w:t>
            </w:r>
          </w:p>
        </w:tc>
        <w:tc>
          <w:tcPr>
            <w:tcW w:w="540" w:type="dxa"/>
            <w:tcBorders>
              <w:tl2br w:val="nil"/>
              <w:tr2bl w:val="nil"/>
            </w:tcBorders>
            <w:noWrap w:val="0"/>
            <w:tcMar>
              <w:top w:w="0" w:type="dxa"/>
              <w:left w:w="90" w:type="dxa"/>
              <w:bottom w:w="0" w:type="dxa"/>
              <w:right w:w="90" w:type="dxa"/>
            </w:tcMar>
            <w:vAlign w:val="top"/>
          </w:tcPr>
          <w:p w14:paraId="27083A8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D3D3B1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0619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00C1675">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4795DF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5.严禁徇私谋利，如发现经查实，每人次扣1分，并辞退相关人员。</w:t>
            </w:r>
          </w:p>
        </w:tc>
        <w:tc>
          <w:tcPr>
            <w:tcW w:w="540" w:type="dxa"/>
            <w:tcBorders>
              <w:tl2br w:val="nil"/>
              <w:tr2bl w:val="nil"/>
            </w:tcBorders>
            <w:noWrap w:val="0"/>
            <w:tcMar>
              <w:top w:w="0" w:type="dxa"/>
              <w:left w:w="90" w:type="dxa"/>
              <w:bottom w:w="0" w:type="dxa"/>
              <w:right w:w="90" w:type="dxa"/>
            </w:tcMar>
            <w:vAlign w:val="top"/>
          </w:tcPr>
          <w:p w14:paraId="49E041E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727F39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C388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3DDC254">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18E53DE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w:t>
            </w:r>
            <w:bookmarkStart w:id="0" w:name="_Hlk3353417"/>
            <w:r>
              <w:rPr>
                <w:rFonts w:hint="eastAsia" w:ascii="宋体" w:hAnsi="宋体" w:eastAsia="宋体" w:cs="宋体"/>
                <w:kern w:val="0"/>
                <w:sz w:val="24"/>
                <w:szCs w:val="24"/>
                <w:highlight w:val="none"/>
                <w:lang w:val="en-US" w:eastAsia="zh-CN" w:bidi="ar-SA"/>
              </w:rPr>
              <w:t>莆田市正美文旅投资有限公司</w:t>
            </w:r>
            <w:bookmarkEnd w:id="0"/>
            <w:r>
              <w:rPr>
                <w:rFonts w:hint="eastAsia" w:ascii="宋体" w:hAnsi="宋体" w:eastAsia="宋体" w:cs="宋体"/>
                <w:kern w:val="0"/>
                <w:sz w:val="24"/>
                <w:szCs w:val="24"/>
                <w:highlight w:val="none"/>
                <w:lang w:val="en-US" w:eastAsia="zh-CN" w:bidi="ar-SA"/>
              </w:rPr>
              <w:t>有权要求物业管理公司辞退不能履行相关职责、行为有损街区形象的物业服务人员。</w:t>
            </w:r>
          </w:p>
        </w:tc>
        <w:tc>
          <w:tcPr>
            <w:tcW w:w="540" w:type="dxa"/>
            <w:tcBorders>
              <w:tl2br w:val="nil"/>
              <w:tr2bl w:val="nil"/>
            </w:tcBorders>
            <w:noWrap w:val="0"/>
            <w:tcMar>
              <w:top w:w="0" w:type="dxa"/>
              <w:left w:w="90" w:type="dxa"/>
              <w:bottom w:w="0" w:type="dxa"/>
              <w:right w:w="90" w:type="dxa"/>
            </w:tcMar>
            <w:vAlign w:val="top"/>
          </w:tcPr>
          <w:p w14:paraId="401AAFD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27F4DB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C0E4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restart"/>
            <w:tcBorders>
              <w:tl2br w:val="nil"/>
              <w:tr2bl w:val="nil"/>
            </w:tcBorders>
            <w:noWrap w:val="0"/>
            <w:tcMar>
              <w:top w:w="0" w:type="dxa"/>
              <w:left w:w="90" w:type="dxa"/>
              <w:bottom w:w="0" w:type="dxa"/>
              <w:right w:w="90" w:type="dxa"/>
            </w:tcMar>
            <w:vAlign w:val="center"/>
          </w:tcPr>
          <w:p w14:paraId="2B2A672F">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二、车辆监管</w:t>
            </w:r>
          </w:p>
          <w:p w14:paraId="48B8B0F8">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(10分)</w:t>
            </w:r>
          </w:p>
        </w:tc>
        <w:tc>
          <w:tcPr>
            <w:tcW w:w="7178" w:type="dxa"/>
            <w:tcBorders>
              <w:tl2br w:val="nil"/>
              <w:tr2bl w:val="nil"/>
            </w:tcBorders>
            <w:noWrap w:val="0"/>
            <w:tcMar>
              <w:top w:w="0" w:type="dxa"/>
              <w:left w:w="90" w:type="dxa"/>
              <w:bottom w:w="0" w:type="dxa"/>
              <w:right w:w="90" w:type="dxa"/>
            </w:tcMar>
            <w:vAlign w:val="top"/>
          </w:tcPr>
          <w:p w14:paraId="2CD2ED8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7.兴化府历史文化街区应急车道严禁停车或停车等人滞留时间过长（即停即走），遇此情况安保执勤人员必须上前劝离或对违规车辆进行处理，不作为的1次扣0.5分。</w:t>
            </w:r>
          </w:p>
        </w:tc>
        <w:tc>
          <w:tcPr>
            <w:tcW w:w="540" w:type="dxa"/>
            <w:tcBorders>
              <w:tl2br w:val="nil"/>
              <w:tr2bl w:val="nil"/>
            </w:tcBorders>
            <w:noWrap w:val="0"/>
            <w:tcMar>
              <w:top w:w="0" w:type="dxa"/>
              <w:left w:w="90" w:type="dxa"/>
              <w:bottom w:w="0" w:type="dxa"/>
              <w:right w:w="90" w:type="dxa"/>
            </w:tcMar>
            <w:vAlign w:val="center"/>
          </w:tcPr>
          <w:p w14:paraId="3837A56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6A3F07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898B2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D80B9DC">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2D0C7F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8.兴化府历史文化街区周围若发生交通事故的，安保人员要于第一时间到现场维护秩序，协助引导车辆分流，并及时汇报，不作为的1次扣0.5分。</w:t>
            </w:r>
          </w:p>
        </w:tc>
        <w:tc>
          <w:tcPr>
            <w:tcW w:w="540" w:type="dxa"/>
            <w:tcBorders>
              <w:tl2br w:val="nil"/>
              <w:tr2bl w:val="nil"/>
            </w:tcBorders>
            <w:noWrap w:val="0"/>
            <w:tcMar>
              <w:top w:w="0" w:type="dxa"/>
              <w:left w:w="90" w:type="dxa"/>
              <w:bottom w:w="0" w:type="dxa"/>
              <w:right w:w="90" w:type="dxa"/>
            </w:tcMar>
            <w:vAlign w:val="top"/>
          </w:tcPr>
          <w:p w14:paraId="70F5141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EF4929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A35D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4DC7D2D">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F1D092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9.兴化府历史文化街区地面不设停车位，安保人员必须对强行进入的车辆进行拦阻，不作为的1次扣0.5分。</w:t>
            </w:r>
          </w:p>
        </w:tc>
        <w:tc>
          <w:tcPr>
            <w:tcW w:w="540" w:type="dxa"/>
            <w:tcBorders>
              <w:tl2br w:val="nil"/>
              <w:tr2bl w:val="nil"/>
            </w:tcBorders>
            <w:noWrap w:val="0"/>
            <w:tcMar>
              <w:top w:w="0" w:type="dxa"/>
              <w:left w:w="90" w:type="dxa"/>
              <w:bottom w:w="0" w:type="dxa"/>
              <w:right w:w="90" w:type="dxa"/>
            </w:tcMar>
            <w:vAlign w:val="center"/>
          </w:tcPr>
          <w:p w14:paraId="40B5C89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5E8FE5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DD62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2E69750">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FF6F19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10.运送货物的车辆进入停车场，必须经采购人同意，并严格检查后方准进出，未履行程序的1次扣2分。</w:t>
            </w:r>
          </w:p>
        </w:tc>
        <w:tc>
          <w:tcPr>
            <w:tcW w:w="540" w:type="dxa"/>
            <w:tcBorders>
              <w:tl2br w:val="nil"/>
              <w:tr2bl w:val="nil"/>
            </w:tcBorders>
            <w:noWrap w:val="0"/>
            <w:tcMar>
              <w:top w:w="0" w:type="dxa"/>
              <w:left w:w="90" w:type="dxa"/>
              <w:bottom w:w="0" w:type="dxa"/>
              <w:right w:w="90" w:type="dxa"/>
            </w:tcMar>
            <w:vAlign w:val="top"/>
          </w:tcPr>
          <w:p w14:paraId="2CB61B3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319A4E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3FB7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2CED159">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397D9E1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11.停车场若有违规停放车辆的，安保人员要进行劝阻，对不听劝告的要及时报告，不作为的1辆扣0.5分。</w:t>
            </w:r>
          </w:p>
        </w:tc>
        <w:tc>
          <w:tcPr>
            <w:tcW w:w="540" w:type="dxa"/>
            <w:tcBorders>
              <w:tl2br w:val="nil"/>
              <w:tr2bl w:val="nil"/>
            </w:tcBorders>
            <w:noWrap w:val="0"/>
            <w:tcMar>
              <w:top w:w="0" w:type="dxa"/>
              <w:left w:w="90" w:type="dxa"/>
              <w:bottom w:w="0" w:type="dxa"/>
              <w:right w:w="90" w:type="dxa"/>
            </w:tcMar>
            <w:vAlign w:val="center"/>
          </w:tcPr>
          <w:p w14:paraId="4C0BD9C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6547C6C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25666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67F2A781">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10C7A4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12.安保人员要加强停车场巡逻，做到车辆摆放整齐，严禁无关人员在停车场走动，若有发现车辆漏油、漏水、门窗未关的，应重点看管，通知车主并及时汇报，不作为的1次扣0.5分。</w:t>
            </w:r>
          </w:p>
        </w:tc>
        <w:tc>
          <w:tcPr>
            <w:tcW w:w="540" w:type="dxa"/>
            <w:tcBorders>
              <w:tl2br w:val="nil"/>
              <w:tr2bl w:val="nil"/>
            </w:tcBorders>
            <w:noWrap w:val="0"/>
            <w:tcMar>
              <w:top w:w="0" w:type="dxa"/>
              <w:left w:w="90" w:type="dxa"/>
              <w:bottom w:w="0" w:type="dxa"/>
              <w:right w:w="90" w:type="dxa"/>
            </w:tcMar>
            <w:vAlign w:val="top"/>
          </w:tcPr>
          <w:p w14:paraId="70E40A80">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F1523C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7CE9B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restart"/>
            <w:tcBorders>
              <w:tl2br w:val="nil"/>
              <w:tr2bl w:val="nil"/>
            </w:tcBorders>
            <w:noWrap w:val="0"/>
            <w:tcMar>
              <w:top w:w="0" w:type="dxa"/>
              <w:left w:w="90" w:type="dxa"/>
              <w:bottom w:w="0" w:type="dxa"/>
              <w:right w:w="90" w:type="dxa"/>
            </w:tcMar>
            <w:vAlign w:val="center"/>
          </w:tcPr>
          <w:p w14:paraId="63CA2340">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三、治安、消防管理监管</w:t>
            </w:r>
          </w:p>
          <w:p w14:paraId="2FD0DCD0">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（20分）</w:t>
            </w:r>
          </w:p>
        </w:tc>
        <w:tc>
          <w:tcPr>
            <w:tcW w:w="7178" w:type="dxa"/>
            <w:tcBorders>
              <w:tl2br w:val="nil"/>
              <w:tr2bl w:val="nil"/>
            </w:tcBorders>
            <w:noWrap w:val="0"/>
            <w:tcMar>
              <w:top w:w="0" w:type="dxa"/>
              <w:left w:w="90" w:type="dxa"/>
              <w:bottom w:w="0" w:type="dxa"/>
              <w:right w:w="90" w:type="dxa"/>
            </w:tcMar>
            <w:vAlign w:val="top"/>
          </w:tcPr>
          <w:p w14:paraId="01FC03B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13.在规定的值守时间与范围内，发生停车场的摩托车、电动车、自行车被窃案件或汽车被损及财物被窃案件，经查实属安保责任的，1次最高扣10分，并追究相关人员的民事或经济责任。</w:t>
            </w:r>
          </w:p>
        </w:tc>
        <w:tc>
          <w:tcPr>
            <w:tcW w:w="540" w:type="dxa"/>
            <w:tcBorders>
              <w:tl2br w:val="nil"/>
              <w:tr2bl w:val="nil"/>
            </w:tcBorders>
            <w:noWrap w:val="0"/>
            <w:tcMar>
              <w:top w:w="0" w:type="dxa"/>
              <w:left w:w="90" w:type="dxa"/>
              <w:bottom w:w="0" w:type="dxa"/>
              <w:right w:w="90" w:type="dxa"/>
            </w:tcMar>
            <w:vAlign w:val="top"/>
          </w:tcPr>
          <w:p w14:paraId="0CAA97A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040B47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603EA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2CB961B">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1488EF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14.确保兴化府历史文化街区全年内不发生一起刑事、治安案件。若发生因物业没有履行职责或没有完全履行职责，造成可以防范而没有防范、可以制止而没能制止、可以发现而没能发现案件的，查实后1次扣20分。</w:t>
            </w:r>
          </w:p>
        </w:tc>
        <w:tc>
          <w:tcPr>
            <w:tcW w:w="540" w:type="dxa"/>
            <w:tcBorders>
              <w:tl2br w:val="nil"/>
              <w:tr2bl w:val="nil"/>
            </w:tcBorders>
            <w:noWrap w:val="0"/>
            <w:tcMar>
              <w:top w:w="0" w:type="dxa"/>
              <w:left w:w="90" w:type="dxa"/>
              <w:bottom w:w="0" w:type="dxa"/>
              <w:right w:w="90" w:type="dxa"/>
            </w:tcMar>
            <w:vAlign w:val="top"/>
          </w:tcPr>
          <w:p w14:paraId="5932F45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6AD521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4FEC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6FD250F7">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616C5A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15.严格执行登记制度，凡下班时间进入兴化府历史文化街区的人员，应询问来访目的，查验有效证件，并进行登记，违者每人次扣0.5分。</w:t>
            </w:r>
          </w:p>
        </w:tc>
        <w:tc>
          <w:tcPr>
            <w:tcW w:w="540" w:type="dxa"/>
            <w:tcBorders>
              <w:tl2br w:val="nil"/>
              <w:tr2bl w:val="nil"/>
            </w:tcBorders>
            <w:noWrap w:val="0"/>
            <w:tcMar>
              <w:top w:w="0" w:type="dxa"/>
              <w:left w:w="90" w:type="dxa"/>
              <w:bottom w:w="0" w:type="dxa"/>
              <w:right w:w="90" w:type="dxa"/>
            </w:tcMar>
            <w:vAlign w:val="center"/>
          </w:tcPr>
          <w:p w14:paraId="24EB889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84CDF8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3111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50497DEA">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7401B7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16.安保人员要熟悉巡逻区内的各种情况，认真巡视每个角落，重点加强对开评标区、监控室、街区前后门出入口、银行网点、地下停车场等重点区域、重点部位的巡查，发现异常情况或可疑人员应立即查明报告，认真填写“巡逻签到记录”，严禁走过场，违者每人次扣0.5分。</w:t>
            </w:r>
          </w:p>
        </w:tc>
        <w:tc>
          <w:tcPr>
            <w:tcW w:w="540" w:type="dxa"/>
            <w:tcBorders>
              <w:tl2br w:val="nil"/>
              <w:tr2bl w:val="nil"/>
            </w:tcBorders>
            <w:noWrap w:val="0"/>
            <w:tcMar>
              <w:top w:w="0" w:type="dxa"/>
              <w:left w:w="90" w:type="dxa"/>
              <w:bottom w:w="0" w:type="dxa"/>
              <w:right w:w="90" w:type="dxa"/>
            </w:tcMar>
            <w:vAlign w:val="top"/>
          </w:tcPr>
          <w:p w14:paraId="3603B56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1DDAE56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D5CE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7FA1F2B">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13FDB7D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17.值班安保人员要坚守岗位，发现有擅离职守、在岗不尽职责、玩忽职守等行为的每人次扣0.5分。</w:t>
            </w:r>
          </w:p>
        </w:tc>
        <w:tc>
          <w:tcPr>
            <w:tcW w:w="540" w:type="dxa"/>
            <w:tcBorders>
              <w:tl2br w:val="nil"/>
              <w:tr2bl w:val="nil"/>
            </w:tcBorders>
            <w:noWrap w:val="0"/>
            <w:tcMar>
              <w:top w:w="0" w:type="dxa"/>
              <w:left w:w="90" w:type="dxa"/>
              <w:bottom w:w="0" w:type="dxa"/>
              <w:right w:w="90" w:type="dxa"/>
            </w:tcMar>
            <w:vAlign w:val="center"/>
          </w:tcPr>
          <w:p w14:paraId="5A0679F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88477F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7C2E2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27122C1">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D19C82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18.安保领班要有效配合公安、消防等部门，积极落实街区安全保卫工作管理制度、决定、决议及加强街区安全保卫管理工作的有关措施。拒不执行的1次扣1分，落实不到位的1次扣 0.5分，并立即纠正。</w:t>
            </w:r>
          </w:p>
        </w:tc>
        <w:tc>
          <w:tcPr>
            <w:tcW w:w="540" w:type="dxa"/>
            <w:tcBorders>
              <w:tl2br w:val="nil"/>
              <w:tr2bl w:val="nil"/>
            </w:tcBorders>
            <w:noWrap w:val="0"/>
            <w:tcMar>
              <w:top w:w="0" w:type="dxa"/>
              <w:left w:w="90" w:type="dxa"/>
              <w:bottom w:w="0" w:type="dxa"/>
              <w:right w:w="90" w:type="dxa"/>
            </w:tcMar>
            <w:vAlign w:val="top"/>
          </w:tcPr>
          <w:p w14:paraId="2CB447C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1BD2B76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237E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52179111">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ACBAB2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19.上级领导来街区调研检查、其他单位带队参观考察或中心召开重大会议期间，安保人员应配合做好交通秩序引导，大厅秩序维护等工作，若发现上访人员，应及时报告，并协助做好劝访工作，置之不理的1次扣1分。</w:t>
            </w:r>
          </w:p>
        </w:tc>
        <w:tc>
          <w:tcPr>
            <w:tcW w:w="540" w:type="dxa"/>
            <w:tcBorders>
              <w:tl2br w:val="nil"/>
              <w:tr2bl w:val="nil"/>
            </w:tcBorders>
            <w:noWrap w:val="0"/>
            <w:tcMar>
              <w:top w:w="0" w:type="dxa"/>
              <w:left w:w="90" w:type="dxa"/>
              <w:bottom w:w="0" w:type="dxa"/>
              <w:right w:w="90" w:type="dxa"/>
            </w:tcMar>
            <w:vAlign w:val="top"/>
          </w:tcPr>
          <w:p w14:paraId="7F2B41A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758020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2DB13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F67B579">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39405C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20.安保人员要对进出街区的物品实行严格审查，严禁易燃易爆、有毒有害等危险物品进入街区，严格按照门卫管理制度进行管理，违者1次扣2分。</w:t>
            </w:r>
          </w:p>
        </w:tc>
        <w:tc>
          <w:tcPr>
            <w:tcW w:w="540" w:type="dxa"/>
            <w:tcBorders>
              <w:tl2br w:val="nil"/>
              <w:tr2bl w:val="nil"/>
            </w:tcBorders>
            <w:noWrap w:val="0"/>
            <w:tcMar>
              <w:top w:w="0" w:type="dxa"/>
              <w:left w:w="90" w:type="dxa"/>
              <w:bottom w:w="0" w:type="dxa"/>
              <w:right w:w="90" w:type="dxa"/>
            </w:tcMar>
            <w:vAlign w:val="top"/>
          </w:tcPr>
          <w:p w14:paraId="5537B55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1F8C430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891E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2CC303A5">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B3926B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21.街区内严禁打架、斗殴、寻衅滋事等事件发生，确保街区安全，有不尽责的1次扣1分。</w:t>
            </w:r>
          </w:p>
        </w:tc>
        <w:tc>
          <w:tcPr>
            <w:tcW w:w="540" w:type="dxa"/>
            <w:tcBorders>
              <w:tl2br w:val="nil"/>
              <w:tr2bl w:val="nil"/>
            </w:tcBorders>
            <w:noWrap w:val="0"/>
            <w:tcMar>
              <w:top w:w="0" w:type="dxa"/>
              <w:left w:w="90" w:type="dxa"/>
              <w:bottom w:w="0" w:type="dxa"/>
              <w:right w:w="90" w:type="dxa"/>
            </w:tcMar>
            <w:vAlign w:val="top"/>
          </w:tcPr>
          <w:p w14:paraId="7EA43FA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6B8AD9D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840B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62597E8A">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1249EE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22.严禁在文化街区内及周边推销不明物品、收取废品等，发现后不制止或不报告的，1次扣3分，并立即纠正。</w:t>
            </w:r>
          </w:p>
        </w:tc>
        <w:tc>
          <w:tcPr>
            <w:tcW w:w="540" w:type="dxa"/>
            <w:tcBorders>
              <w:tl2br w:val="nil"/>
              <w:tr2bl w:val="nil"/>
            </w:tcBorders>
            <w:noWrap w:val="0"/>
            <w:tcMar>
              <w:top w:w="0" w:type="dxa"/>
              <w:left w:w="90" w:type="dxa"/>
              <w:bottom w:w="0" w:type="dxa"/>
              <w:right w:w="90" w:type="dxa"/>
            </w:tcMar>
            <w:vAlign w:val="top"/>
          </w:tcPr>
          <w:p w14:paraId="3846A7D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1224A0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80CA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274479B0">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C2D28D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23.街区监控系统要保持正常运行，并按规定期限保存监控记录，若有发现问题应及时上报，违者1次扣2分。</w:t>
            </w:r>
          </w:p>
        </w:tc>
        <w:tc>
          <w:tcPr>
            <w:tcW w:w="540" w:type="dxa"/>
            <w:tcBorders>
              <w:tl2br w:val="nil"/>
              <w:tr2bl w:val="nil"/>
            </w:tcBorders>
            <w:noWrap w:val="0"/>
            <w:tcMar>
              <w:top w:w="0" w:type="dxa"/>
              <w:left w:w="90" w:type="dxa"/>
              <w:bottom w:w="0" w:type="dxa"/>
              <w:right w:w="90" w:type="dxa"/>
            </w:tcMar>
            <w:vAlign w:val="top"/>
          </w:tcPr>
          <w:p w14:paraId="2092221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76CB46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C6E4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7279A5A">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446DC13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24.安保值班电话必须保持24小时通讯畅通，若无人接听或关机的，1次扣0.5分。</w:t>
            </w:r>
          </w:p>
        </w:tc>
        <w:tc>
          <w:tcPr>
            <w:tcW w:w="540" w:type="dxa"/>
            <w:tcBorders>
              <w:tl2br w:val="nil"/>
              <w:tr2bl w:val="nil"/>
            </w:tcBorders>
            <w:noWrap w:val="0"/>
            <w:tcMar>
              <w:top w:w="0" w:type="dxa"/>
              <w:left w:w="90" w:type="dxa"/>
              <w:bottom w:w="0" w:type="dxa"/>
              <w:right w:w="90" w:type="dxa"/>
            </w:tcMar>
            <w:vAlign w:val="top"/>
          </w:tcPr>
          <w:p w14:paraId="7E7F683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6568E9B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256A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88B2027">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2B2AC6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25.消防设施设备要齐全、完好、有效；常闭式防火门应处于关闭状态，违者1次扣0.5分。</w:t>
            </w:r>
          </w:p>
        </w:tc>
        <w:tc>
          <w:tcPr>
            <w:tcW w:w="540" w:type="dxa"/>
            <w:tcBorders>
              <w:tl2br w:val="nil"/>
              <w:tr2bl w:val="nil"/>
            </w:tcBorders>
            <w:noWrap w:val="0"/>
            <w:tcMar>
              <w:top w:w="0" w:type="dxa"/>
              <w:left w:w="90" w:type="dxa"/>
              <w:bottom w:w="0" w:type="dxa"/>
              <w:right w:w="90" w:type="dxa"/>
            </w:tcMar>
            <w:vAlign w:val="top"/>
          </w:tcPr>
          <w:p w14:paraId="493E927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504AEDC0">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2489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8EFE7D2">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A5114A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26.消防通道无占用、无杂物堆放等现象，违者每次扣0.5分。</w:t>
            </w:r>
          </w:p>
        </w:tc>
        <w:tc>
          <w:tcPr>
            <w:tcW w:w="540" w:type="dxa"/>
            <w:tcBorders>
              <w:tl2br w:val="nil"/>
              <w:tr2bl w:val="nil"/>
            </w:tcBorders>
            <w:noWrap w:val="0"/>
            <w:tcMar>
              <w:top w:w="0" w:type="dxa"/>
              <w:left w:w="90" w:type="dxa"/>
              <w:bottom w:w="0" w:type="dxa"/>
              <w:right w:w="90" w:type="dxa"/>
            </w:tcMar>
            <w:vAlign w:val="top"/>
          </w:tcPr>
          <w:p w14:paraId="465BEFF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55B9FCC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64FA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75BABA8">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40A588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27.安保消防设备、器材和消防安全标志要配置到位，状态良好，发现破损应及时维修更换，不合格的每处扣0.5分，并立即整改。</w:t>
            </w:r>
          </w:p>
        </w:tc>
        <w:tc>
          <w:tcPr>
            <w:tcW w:w="540" w:type="dxa"/>
            <w:tcBorders>
              <w:tl2br w:val="nil"/>
              <w:tr2bl w:val="nil"/>
            </w:tcBorders>
            <w:noWrap w:val="0"/>
            <w:tcMar>
              <w:top w:w="0" w:type="dxa"/>
              <w:left w:w="90" w:type="dxa"/>
              <w:bottom w:w="0" w:type="dxa"/>
              <w:right w:w="90" w:type="dxa"/>
            </w:tcMar>
            <w:vAlign w:val="top"/>
          </w:tcPr>
          <w:p w14:paraId="19917C4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F1AED2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680D7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673FB09">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11B536A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28.物业管理公司要制定安保消防安全应急预案，每月必须组织安保人员进行消防安全培训和训练，掌握消防安全常识，熟练使用各类消防器材，并能及时处理各种问题，不符合要求的扣3分。</w:t>
            </w:r>
          </w:p>
        </w:tc>
        <w:tc>
          <w:tcPr>
            <w:tcW w:w="540" w:type="dxa"/>
            <w:tcBorders>
              <w:tl2br w:val="nil"/>
              <w:tr2bl w:val="nil"/>
            </w:tcBorders>
            <w:noWrap w:val="0"/>
            <w:tcMar>
              <w:top w:w="0" w:type="dxa"/>
              <w:left w:w="90" w:type="dxa"/>
              <w:bottom w:w="0" w:type="dxa"/>
              <w:right w:w="90" w:type="dxa"/>
            </w:tcMar>
            <w:vAlign w:val="top"/>
          </w:tcPr>
          <w:p w14:paraId="5A3F64A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A86CA4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0AE5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restart"/>
            <w:tcBorders>
              <w:tl2br w:val="nil"/>
              <w:tr2bl w:val="nil"/>
            </w:tcBorders>
            <w:noWrap w:val="0"/>
            <w:tcMar>
              <w:top w:w="0" w:type="dxa"/>
              <w:left w:w="90" w:type="dxa"/>
              <w:bottom w:w="0" w:type="dxa"/>
              <w:right w:w="90" w:type="dxa"/>
            </w:tcMar>
            <w:vAlign w:val="center"/>
          </w:tcPr>
          <w:p w14:paraId="4399B65B">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四、清洁服务监管</w:t>
            </w:r>
          </w:p>
          <w:p w14:paraId="464CB23A">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（10分）</w:t>
            </w:r>
          </w:p>
          <w:p w14:paraId="1C1A4DEC">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67A9C6D3">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098D6F84">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880EE0A">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65E34B4F">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1A5B20EA">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605F4AEE">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FADA24B">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608186DB">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8C70FEA">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0F0FA1FD">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5585D486">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66FFACC">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C116424">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50DA1828">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051CC67">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0C81EDF1">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3F190DD9">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CD57A57">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1B7825A">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4291362">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66232177">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11FD8071">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DD925E7">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5B42879B">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116091E5">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7B8AF50">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0F814C84">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143A7B40">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550D8FE1">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1ECA69BA">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1628B8DC">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09079459">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7ADB7D1">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BE614EF">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230B5E3">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1C0FC3C">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6F892FC6">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670A052">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E634EA0">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2ECF6E9">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4882040">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1E61857">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5EFD3D4C">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C395AB4">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554ACAF4">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406AD5A">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C4D56EF">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D47196E">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3059E597">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3B05B3B2">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0E840AF5">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6998353">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02806F2B">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8C519BE">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86EE13B">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34222DF">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1612F793">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CB285B8">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675FD08">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3AF381A4">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7291D95">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0924D597">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17982EFE">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50FE0524">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64CFFF6D">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6CD9AC9">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1A856C3B">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705D855A">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55826869">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6C2FF61">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2D338B80">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477B9DEA">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 </w:t>
            </w:r>
          </w:p>
          <w:p w14:paraId="03EA94BF">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五、设备设施操作、</w:t>
            </w:r>
          </w:p>
          <w:p w14:paraId="665DFB2F">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维护管理</w:t>
            </w:r>
          </w:p>
          <w:p w14:paraId="74B6A17D">
            <w:pPr>
              <w:keepNext w:val="0"/>
              <w:keepLines w:val="0"/>
              <w:pageBreakBefore w:val="0"/>
              <w:widowControl/>
              <w:kinsoku/>
              <w:overflowPunct/>
              <w:topLinePunct w:val="0"/>
              <w:bidi w:val="0"/>
              <w:adjustRightInd/>
              <w:snapToGrid/>
              <w:spacing w:beforeAutospacing="0" w:afterAutospacing="0" w:line="320" w:lineRule="exact"/>
              <w:jc w:val="both"/>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（20分）</w:t>
            </w:r>
          </w:p>
        </w:tc>
        <w:tc>
          <w:tcPr>
            <w:tcW w:w="7178" w:type="dxa"/>
            <w:tcBorders>
              <w:tl2br w:val="nil"/>
              <w:tr2bl w:val="nil"/>
            </w:tcBorders>
            <w:noWrap w:val="0"/>
            <w:tcMar>
              <w:top w:w="0" w:type="dxa"/>
              <w:left w:w="90" w:type="dxa"/>
              <w:bottom w:w="0" w:type="dxa"/>
              <w:right w:w="90" w:type="dxa"/>
            </w:tcMar>
            <w:vAlign w:val="top"/>
          </w:tcPr>
          <w:p w14:paraId="508B4E6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29.各区域保洁人员，应做到统一着装，精神饱满、仪表整洁，不出现蓬头散发现象；清洁保洁要及时，实行标准保洁，不合格的每人次扣 0.5分。街区管理员、工作人员服务态度要端正，佩戴明显标志（工作牌），穿工作服，工作认真负责，有较强的奉献精神，文明服务，礼貌待人，使用规范、文明礼貌用语，不合格的每人次扣 0.5分。</w:t>
            </w:r>
          </w:p>
        </w:tc>
        <w:tc>
          <w:tcPr>
            <w:tcW w:w="540" w:type="dxa"/>
            <w:tcBorders>
              <w:tl2br w:val="nil"/>
              <w:tr2bl w:val="nil"/>
            </w:tcBorders>
            <w:noWrap w:val="0"/>
            <w:tcMar>
              <w:top w:w="0" w:type="dxa"/>
              <w:left w:w="90" w:type="dxa"/>
              <w:bottom w:w="0" w:type="dxa"/>
              <w:right w:w="90" w:type="dxa"/>
            </w:tcMar>
            <w:vAlign w:val="top"/>
          </w:tcPr>
          <w:p w14:paraId="1BCFDFB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C6D976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6C3C6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6C374AA">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619BA5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30.办公楼楼层卫生间玻璃镜面、洗手台面和地面无积水、无明显污渍，地面无明显脚印；及时擦干开水间内地面积水，搽拭干净电开水器，清理干净茶渣篓，定期按要求对开水机进行清洁保养；会议室、导办台、自助区、开水间、卫生间等公共区域地板、沙发、茶几，桌椅、马桶、隔板等各处卫生死角按时进行清洁（45分钟内），目视有发霉或蛛网等现象的每处扣0.5分。</w:t>
            </w:r>
          </w:p>
        </w:tc>
        <w:tc>
          <w:tcPr>
            <w:tcW w:w="540" w:type="dxa"/>
            <w:tcBorders>
              <w:tl2br w:val="nil"/>
              <w:tr2bl w:val="nil"/>
            </w:tcBorders>
            <w:noWrap w:val="0"/>
            <w:tcMar>
              <w:top w:w="0" w:type="dxa"/>
              <w:left w:w="90" w:type="dxa"/>
              <w:bottom w:w="0" w:type="dxa"/>
              <w:right w:w="90" w:type="dxa"/>
            </w:tcMar>
            <w:vAlign w:val="top"/>
          </w:tcPr>
          <w:p w14:paraId="06C4ECD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6787070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320E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9C421F1">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21E9EF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31.卫生间便池感应阀、洗手龙头应保持正常工作，出水流畅。出现损坏的于一日内修复，不合格的每处扣0.5分。</w:t>
            </w:r>
          </w:p>
        </w:tc>
        <w:tc>
          <w:tcPr>
            <w:tcW w:w="540" w:type="dxa"/>
            <w:tcBorders>
              <w:tl2br w:val="nil"/>
              <w:tr2bl w:val="nil"/>
            </w:tcBorders>
            <w:noWrap w:val="0"/>
            <w:tcMar>
              <w:top w:w="0" w:type="dxa"/>
              <w:left w:w="90" w:type="dxa"/>
              <w:bottom w:w="0" w:type="dxa"/>
              <w:right w:w="90" w:type="dxa"/>
            </w:tcMar>
            <w:vAlign w:val="top"/>
          </w:tcPr>
          <w:p w14:paraId="7366FF3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40ED89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447E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AFC2739">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11F55D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32.保持卫生间墙面瓷砖、门窗无灰尘，大、小便池内无污物，卫生间其他设施完好无异味，不合格的每处扣0.5分。</w:t>
            </w:r>
          </w:p>
        </w:tc>
        <w:tc>
          <w:tcPr>
            <w:tcW w:w="540" w:type="dxa"/>
            <w:tcBorders>
              <w:tl2br w:val="nil"/>
              <w:tr2bl w:val="nil"/>
            </w:tcBorders>
            <w:noWrap w:val="0"/>
            <w:tcMar>
              <w:top w:w="0" w:type="dxa"/>
              <w:left w:w="90" w:type="dxa"/>
              <w:bottom w:w="0" w:type="dxa"/>
              <w:right w:w="90" w:type="dxa"/>
            </w:tcMar>
            <w:vAlign w:val="top"/>
          </w:tcPr>
          <w:p w14:paraId="7597CBA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260191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76691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609281C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7866C7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33.保持街区内公共区域无瓜皮果壳、烟头、纸屑、痰迹等杂物，地面无积水、无污渍。如发现有垃圾或积水的，应在45 分钟内清扫完毕。不合格的每处扣0.5分。</w:t>
            </w:r>
          </w:p>
        </w:tc>
        <w:tc>
          <w:tcPr>
            <w:tcW w:w="540" w:type="dxa"/>
            <w:tcBorders>
              <w:tl2br w:val="nil"/>
              <w:tr2bl w:val="nil"/>
            </w:tcBorders>
            <w:noWrap w:val="0"/>
            <w:tcMar>
              <w:top w:w="0" w:type="dxa"/>
              <w:left w:w="90" w:type="dxa"/>
              <w:bottom w:w="0" w:type="dxa"/>
              <w:right w:w="90" w:type="dxa"/>
            </w:tcMar>
            <w:vAlign w:val="center"/>
          </w:tcPr>
          <w:p w14:paraId="5588F0C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10D72AF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B0D5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FDE4B3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36CEE6E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34.保持大厅、公共楼道、卫生间、走廊等公共部分的墙面砖和地砖洁净、无破损；墙面处1米以下随时保洁，保持无污渍。不合格的每处扣0.5分。（建筑质量问题除外）</w:t>
            </w:r>
          </w:p>
        </w:tc>
        <w:tc>
          <w:tcPr>
            <w:tcW w:w="540" w:type="dxa"/>
            <w:tcBorders>
              <w:tl2br w:val="nil"/>
              <w:tr2bl w:val="nil"/>
            </w:tcBorders>
            <w:noWrap w:val="0"/>
            <w:tcMar>
              <w:top w:w="0" w:type="dxa"/>
              <w:left w:w="90" w:type="dxa"/>
              <w:bottom w:w="0" w:type="dxa"/>
              <w:right w:w="90" w:type="dxa"/>
            </w:tcMar>
            <w:vAlign w:val="top"/>
          </w:tcPr>
          <w:p w14:paraId="491AD64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487B68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F2E0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B61F73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198E53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35.公共门窗、消防栓、标牌、栏杆、扶手门（窗）框，应做到目视无污渍、灰尘，玻璃门窗（内）无污迹，不合格的每处扣0.5 分。</w:t>
            </w:r>
          </w:p>
        </w:tc>
        <w:tc>
          <w:tcPr>
            <w:tcW w:w="540" w:type="dxa"/>
            <w:tcBorders>
              <w:tl2br w:val="nil"/>
              <w:tr2bl w:val="nil"/>
            </w:tcBorders>
            <w:noWrap w:val="0"/>
            <w:tcMar>
              <w:top w:w="0" w:type="dxa"/>
              <w:left w:w="90" w:type="dxa"/>
              <w:bottom w:w="0" w:type="dxa"/>
              <w:right w:w="90" w:type="dxa"/>
            </w:tcMar>
            <w:vAlign w:val="center"/>
          </w:tcPr>
          <w:p w14:paraId="74A2062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5E42937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C06D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5DB10ED4">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39DA309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36.保洁人员要每天巡查街区路面、外围绿化带、停车场、各入口，确保无瓜皮果壳、纸屑、泥沙、积水、污渍、垃圾杂物等。若发现垃圾的，应于45分钟内清扫干净，不合格的每处扣0.5分；遇有紧急情况的，应立即安排人员清扫，不执行的扣3分。</w:t>
            </w:r>
          </w:p>
        </w:tc>
        <w:tc>
          <w:tcPr>
            <w:tcW w:w="540" w:type="dxa"/>
            <w:tcBorders>
              <w:tl2br w:val="nil"/>
              <w:tr2bl w:val="nil"/>
            </w:tcBorders>
            <w:noWrap w:val="0"/>
            <w:tcMar>
              <w:top w:w="0" w:type="dxa"/>
              <w:left w:w="90" w:type="dxa"/>
              <w:bottom w:w="0" w:type="dxa"/>
              <w:right w:w="90" w:type="dxa"/>
            </w:tcMar>
            <w:vAlign w:val="center"/>
          </w:tcPr>
          <w:p w14:paraId="2F41AB0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center"/>
          </w:tcPr>
          <w:p w14:paraId="7AAEDE4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A27B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53B6EC5A">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41C2E37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37.天花板、天棚应做到目视无蜘蛛网、无灰尘；灯罩、烟感、吹风口、指示灯目视无灰尘、无污迹。不合格的每处扣0.5分。</w:t>
            </w:r>
          </w:p>
        </w:tc>
        <w:tc>
          <w:tcPr>
            <w:tcW w:w="540" w:type="dxa"/>
            <w:tcBorders>
              <w:tl2br w:val="nil"/>
              <w:tr2bl w:val="nil"/>
            </w:tcBorders>
            <w:noWrap w:val="0"/>
            <w:tcMar>
              <w:top w:w="0" w:type="dxa"/>
              <w:left w:w="90" w:type="dxa"/>
              <w:bottom w:w="0" w:type="dxa"/>
              <w:right w:w="90" w:type="dxa"/>
            </w:tcMar>
            <w:vAlign w:val="top"/>
          </w:tcPr>
          <w:p w14:paraId="2D62F7E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F2CAF0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2FD4D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5D5521D1">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35BA643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38.街区公共区域禁止吸烟，保洁人员上午下班后应将垃圾桶上方垃圾放置垃圾桶内，垃圾桶内垃圾不超出器皿容量的30%，下午下班后应及时清理吸烟室烟灰盅、公共区域垃圾桶等环卫设施内垃圾，做到楼内垃圾当日清；烟灰盅、垃圾桶外表无污迹、黏附物，垃圾桶周围无散落垃圾，无污水、污渍，环卫设施保护完好，不合格的每处扣0.5分。</w:t>
            </w:r>
          </w:p>
        </w:tc>
        <w:tc>
          <w:tcPr>
            <w:tcW w:w="540" w:type="dxa"/>
            <w:tcBorders>
              <w:tl2br w:val="nil"/>
              <w:tr2bl w:val="nil"/>
            </w:tcBorders>
            <w:noWrap w:val="0"/>
            <w:tcMar>
              <w:top w:w="0" w:type="dxa"/>
              <w:left w:w="90" w:type="dxa"/>
              <w:bottom w:w="0" w:type="dxa"/>
              <w:right w:w="90" w:type="dxa"/>
            </w:tcMar>
            <w:vAlign w:val="center"/>
          </w:tcPr>
          <w:p w14:paraId="15A375D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44F2B2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B606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5D2ED99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395D7AD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39.要确保雨、污水管井的底部无积物，水流畅通，井盖无锈迹；盖板无污迹，并按期清理，确保畅通，不合格的每处扣0.5分。</w:t>
            </w:r>
          </w:p>
        </w:tc>
        <w:tc>
          <w:tcPr>
            <w:tcW w:w="540" w:type="dxa"/>
            <w:tcBorders>
              <w:tl2br w:val="nil"/>
              <w:tr2bl w:val="nil"/>
            </w:tcBorders>
            <w:noWrap w:val="0"/>
            <w:tcMar>
              <w:top w:w="0" w:type="dxa"/>
              <w:left w:w="90" w:type="dxa"/>
              <w:bottom w:w="0" w:type="dxa"/>
              <w:right w:w="90" w:type="dxa"/>
            </w:tcMar>
            <w:vAlign w:val="top"/>
          </w:tcPr>
          <w:p w14:paraId="0C27CAC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4949C4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707524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4AEB119">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14168B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40.化粪池按月进行检查，定期清淘，不外溢污水。若有污水溢出的1次扣1分，其他不合格的情况1次扣0.5分。</w:t>
            </w:r>
          </w:p>
        </w:tc>
        <w:tc>
          <w:tcPr>
            <w:tcW w:w="540" w:type="dxa"/>
            <w:tcBorders>
              <w:tl2br w:val="nil"/>
              <w:tr2bl w:val="nil"/>
            </w:tcBorders>
            <w:noWrap w:val="0"/>
            <w:tcMar>
              <w:top w:w="0" w:type="dxa"/>
              <w:left w:w="90" w:type="dxa"/>
              <w:bottom w:w="0" w:type="dxa"/>
              <w:right w:w="90" w:type="dxa"/>
            </w:tcMar>
            <w:vAlign w:val="top"/>
          </w:tcPr>
          <w:p w14:paraId="2D91E0B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2285B8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78CE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28181B11">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B74851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41.楼面平台地漏要完好无堵塞，无大面积积水；明沟、暗沟要排水畅通，无垃圾，无溢流现象；沟盖板要安装牢固、平稳，不合格的每处扣0.5分。</w:t>
            </w:r>
          </w:p>
        </w:tc>
        <w:tc>
          <w:tcPr>
            <w:tcW w:w="540" w:type="dxa"/>
            <w:tcBorders>
              <w:tl2br w:val="nil"/>
              <w:tr2bl w:val="nil"/>
            </w:tcBorders>
            <w:noWrap w:val="0"/>
            <w:tcMar>
              <w:top w:w="0" w:type="dxa"/>
              <w:left w:w="90" w:type="dxa"/>
              <w:bottom w:w="0" w:type="dxa"/>
              <w:right w:w="90" w:type="dxa"/>
            </w:tcMar>
            <w:vAlign w:val="top"/>
          </w:tcPr>
          <w:p w14:paraId="00CD22C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8E00D9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8153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F56D5F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F1A2CE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42.清运垃圾、收集垃圾时要确保不溢出、无散落，不合格的每处扣0.5分。</w:t>
            </w:r>
          </w:p>
        </w:tc>
        <w:tc>
          <w:tcPr>
            <w:tcW w:w="540" w:type="dxa"/>
            <w:tcBorders>
              <w:tl2br w:val="nil"/>
              <w:tr2bl w:val="nil"/>
            </w:tcBorders>
            <w:noWrap w:val="0"/>
            <w:tcMar>
              <w:top w:w="0" w:type="dxa"/>
              <w:left w:w="90" w:type="dxa"/>
              <w:bottom w:w="0" w:type="dxa"/>
              <w:right w:w="90" w:type="dxa"/>
            </w:tcMar>
            <w:vAlign w:val="top"/>
          </w:tcPr>
          <w:p w14:paraId="6D16E8A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648E89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8505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6DDF67C">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7FB6A03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43.保洁人员要每天检查街区公共区域的盆栽植物、花槽，保持盆栽植物无烟头、纸屑等杂物，若发现应于45分钟内清扫干净。不合格的每处扣0.5分。</w:t>
            </w:r>
          </w:p>
        </w:tc>
        <w:tc>
          <w:tcPr>
            <w:tcW w:w="540" w:type="dxa"/>
            <w:tcBorders>
              <w:tl2br w:val="nil"/>
              <w:tr2bl w:val="nil"/>
            </w:tcBorders>
            <w:noWrap w:val="0"/>
            <w:tcMar>
              <w:top w:w="0" w:type="dxa"/>
              <w:left w:w="90" w:type="dxa"/>
              <w:bottom w:w="0" w:type="dxa"/>
              <w:right w:w="90" w:type="dxa"/>
            </w:tcMar>
            <w:vAlign w:val="top"/>
          </w:tcPr>
          <w:p w14:paraId="7C0C45C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8FD669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D321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49311A7">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7B45D0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44.要按消杀操作规程及服务标准要求定期进行消毒灭杀，并有相应记录，确保无蚊蝇孳生现象。不合格的每处扣0.5分。</w:t>
            </w:r>
          </w:p>
        </w:tc>
        <w:tc>
          <w:tcPr>
            <w:tcW w:w="540" w:type="dxa"/>
            <w:tcBorders>
              <w:tl2br w:val="nil"/>
              <w:tr2bl w:val="nil"/>
            </w:tcBorders>
            <w:noWrap w:val="0"/>
            <w:tcMar>
              <w:top w:w="0" w:type="dxa"/>
              <w:left w:w="90" w:type="dxa"/>
              <w:bottom w:w="0" w:type="dxa"/>
              <w:right w:w="90" w:type="dxa"/>
            </w:tcMar>
            <w:vAlign w:val="top"/>
          </w:tcPr>
          <w:p w14:paraId="138A75A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6607CF3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2196D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40770877">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7AB88F3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45.街区正前门玻璃及各层围栏玻璃每周应清洗一次，平时发现手印、污渍等的应及时清理，不合格的每次扣0.5分。</w:t>
            </w:r>
          </w:p>
        </w:tc>
        <w:tc>
          <w:tcPr>
            <w:tcW w:w="540" w:type="dxa"/>
            <w:tcBorders>
              <w:tl2br w:val="nil"/>
              <w:tr2bl w:val="nil"/>
            </w:tcBorders>
            <w:noWrap w:val="0"/>
            <w:tcMar>
              <w:top w:w="0" w:type="dxa"/>
              <w:left w:w="90" w:type="dxa"/>
              <w:bottom w:w="0" w:type="dxa"/>
              <w:right w:w="90" w:type="dxa"/>
            </w:tcMar>
            <w:vAlign w:val="top"/>
          </w:tcPr>
          <w:p w14:paraId="2B25728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A98307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1E7F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4BC09D1A">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7A2749E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46.遇周末或其他节假日放假前保洁人员必须按职责分工做好卫生保洁工作，不合格每次扣0.5分，周一或节假日后上班发现垃圾桶未及时清理每次扣1分。</w:t>
            </w:r>
          </w:p>
        </w:tc>
        <w:tc>
          <w:tcPr>
            <w:tcW w:w="540" w:type="dxa"/>
            <w:tcBorders>
              <w:tl2br w:val="nil"/>
              <w:tr2bl w:val="nil"/>
            </w:tcBorders>
            <w:noWrap w:val="0"/>
            <w:tcMar>
              <w:top w:w="0" w:type="dxa"/>
              <w:left w:w="90" w:type="dxa"/>
              <w:bottom w:w="0" w:type="dxa"/>
              <w:right w:w="90" w:type="dxa"/>
            </w:tcMar>
            <w:vAlign w:val="top"/>
          </w:tcPr>
          <w:p w14:paraId="139FB6B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D12BF8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AED0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F471D42">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131AE4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47.街区停车场、楼户外露台、活动室每半个月清洗一次，无定期清洗发现一次扣1分。</w:t>
            </w:r>
          </w:p>
        </w:tc>
        <w:tc>
          <w:tcPr>
            <w:tcW w:w="540" w:type="dxa"/>
            <w:tcBorders>
              <w:tl2br w:val="nil"/>
              <w:tr2bl w:val="nil"/>
            </w:tcBorders>
            <w:noWrap w:val="0"/>
            <w:tcMar>
              <w:top w:w="0" w:type="dxa"/>
              <w:left w:w="90" w:type="dxa"/>
              <w:bottom w:w="0" w:type="dxa"/>
              <w:right w:w="90" w:type="dxa"/>
            </w:tcMar>
            <w:vAlign w:val="top"/>
          </w:tcPr>
          <w:p w14:paraId="0016761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47506D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C674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AB9688F">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7F883D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48.物业公司保洁人员应按甲方要求，履行好各自职责街区保洁人员不得另受聘于其他单位，若发现一起扣2分；其他单位若有另外聘请保洁人员在中心从事卫生保洁工作，物业公司应及时报告办公室，否则发现一起扣2分。</w:t>
            </w:r>
          </w:p>
        </w:tc>
        <w:tc>
          <w:tcPr>
            <w:tcW w:w="540" w:type="dxa"/>
            <w:tcBorders>
              <w:tl2br w:val="nil"/>
              <w:tr2bl w:val="nil"/>
            </w:tcBorders>
            <w:noWrap w:val="0"/>
            <w:tcMar>
              <w:top w:w="0" w:type="dxa"/>
              <w:left w:w="90" w:type="dxa"/>
              <w:bottom w:w="0" w:type="dxa"/>
              <w:right w:w="90" w:type="dxa"/>
            </w:tcMar>
            <w:vAlign w:val="top"/>
          </w:tcPr>
          <w:p w14:paraId="050C434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5191B61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3E60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EE016B5">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4B8DA3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49.要安排专业人员每日检查电源系统、控制系统及水泵运转部分的润滑情况。未执行的发现1次扣1分。</w:t>
            </w:r>
          </w:p>
        </w:tc>
        <w:tc>
          <w:tcPr>
            <w:tcW w:w="540" w:type="dxa"/>
            <w:tcBorders>
              <w:tl2br w:val="nil"/>
              <w:tr2bl w:val="nil"/>
            </w:tcBorders>
            <w:noWrap w:val="0"/>
            <w:tcMar>
              <w:top w:w="0" w:type="dxa"/>
              <w:left w:w="90" w:type="dxa"/>
              <w:bottom w:w="0" w:type="dxa"/>
              <w:right w:w="90" w:type="dxa"/>
            </w:tcMar>
            <w:vAlign w:val="top"/>
          </w:tcPr>
          <w:p w14:paraId="7806DF3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209A77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1515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D64DE9F">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8135EB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50.要保证水泵运行稳定、无异响，电源指示无波动，控制箱清洁，开机时盘根滴水不超标，不合格的发现1次扣1分。</w:t>
            </w:r>
          </w:p>
        </w:tc>
        <w:tc>
          <w:tcPr>
            <w:tcW w:w="540" w:type="dxa"/>
            <w:tcBorders>
              <w:tl2br w:val="nil"/>
              <w:tr2bl w:val="nil"/>
            </w:tcBorders>
            <w:noWrap w:val="0"/>
            <w:tcMar>
              <w:top w:w="0" w:type="dxa"/>
              <w:left w:w="90" w:type="dxa"/>
              <w:bottom w:w="0" w:type="dxa"/>
              <w:right w:w="90" w:type="dxa"/>
            </w:tcMar>
            <w:vAlign w:val="top"/>
          </w:tcPr>
          <w:p w14:paraId="21B0C42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17E955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61652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7D5DA93">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189BFD9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51.每周对供水系统的各个主要部分进行详细检查，作好详细记录，否则缺1次扣 2 分；有问题应查而未查的1次扣1分，检查后记录不全不详的1次扣0.5分。</w:t>
            </w:r>
          </w:p>
        </w:tc>
        <w:tc>
          <w:tcPr>
            <w:tcW w:w="540" w:type="dxa"/>
            <w:tcBorders>
              <w:tl2br w:val="nil"/>
              <w:tr2bl w:val="nil"/>
            </w:tcBorders>
            <w:noWrap w:val="0"/>
            <w:tcMar>
              <w:top w:w="0" w:type="dxa"/>
              <w:left w:w="90" w:type="dxa"/>
              <w:bottom w:w="0" w:type="dxa"/>
              <w:right w:w="90" w:type="dxa"/>
            </w:tcMar>
            <w:vAlign w:val="top"/>
          </w:tcPr>
          <w:p w14:paraId="3B10F1F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102D73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DF4A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4E542D79">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B90FEF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52.每周要检查一次排污井，并保证排污系统畅通。排污井排水不畅的1次扣0.5分；排污水井溢出地面的1次扣1分。</w:t>
            </w:r>
          </w:p>
        </w:tc>
        <w:tc>
          <w:tcPr>
            <w:tcW w:w="540" w:type="dxa"/>
            <w:tcBorders>
              <w:tl2br w:val="nil"/>
              <w:tr2bl w:val="nil"/>
            </w:tcBorders>
            <w:noWrap w:val="0"/>
            <w:tcMar>
              <w:top w:w="0" w:type="dxa"/>
              <w:left w:w="90" w:type="dxa"/>
              <w:bottom w:w="0" w:type="dxa"/>
              <w:right w:w="90" w:type="dxa"/>
            </w:tcMar>
            <w:vAlign w:val="top"/>
          </w:tcPr>
          <w:p w14:paraId="2C1DBC5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89D73A0">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A533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43EA4441">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D41748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53.每年雨季来临前必须彻底清畅排水系统，保证雨水畅通；确保排污系统随时完好，正常运转。检查中发现故障的1次扣1分；发现因故障导致积水的1次扣2分。</w:t>
            </w:r>
          </w:p>
        </w:tc>
        <w:tc>
          <w:tcPr>
            <w:tcW w:w="540" w:type="dxa"/>
            <w:tcBorders>
              <w:tl2br w:val="nil"/>
              <w:tr2bl w:val="nil"/>
            </w:tcBorders>
            <w:noWrap w:val="0"/>
            <w:tcMar>
              <w:top w:w="0" w:type="dxa"/>
              <w:left w:w="90" w:type="dxa"/>
              <w:bottom w:w="0" w:type="dxa"/>
              <w:right w:w="90" w:type="dxa"/>
            </w:tcMar>
            <w:vAlign w:val="center"/>
          </w:tcPr>
          <w:p w14:paraId="5033CF9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center"/>
          </w:tcPr>
          <w:p w14:paraId="32BA9FD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B419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6AC32CF">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B8B98E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54.当班工作人员在开机和关机时，必须严格按操作规程开启或关闭相关的阀门和主机，发现操作不当的，1次扣0.5分。</w:t>
            </w:r>
          </w:p>
        </w:tc>
        <w:tc>
          <w:tcPr>
            <w:tcW w:w="540" w:type="dxa"/>
            <w:tcBorders>
              <w:tl2br w:val="nil"/>
              <w:tr2bl w:val="nil"/>
            </w:tcBorders>
            <w:noWrap w:val="0"/>
            <w:tcMar>
              <w:top w:w="0" w:type="dxa"/>
              <w:left w:w="90" w:type="dxa"/>
              <w:bottom w:w="0" w:type="dxa"/>
              <w:right w:w="90" w:type="dxa"/>
            </w:tcMar>
            <w:vAlign w:val="center"/>
          </w:tcPr>
          <w:p w14:paraId="7C80DE9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center"/>
          </w:tcPr>
          <w:p w14:paraId="6EA8960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4A3A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4847974">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1FF2D7C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55.当班工作人员要对中央空调各方面的运行情况定时进行检查，并按规定做好运行记录和交接班记录，发现无记录的，1次扣0.5分。</w:t>
            </w:r>
          </w:p>
        </w:tc>
        <w:tc>
          <w:tcPr>
            <w:tcW w:w="540" w:type="dxa"/>
            <w:tcBorders>
              <w:tl2br w:val="nil"/>
              <w:tr2bl w:val="nil"/>
            </w:tcBorders>
            <w:noWrap w:val="0"/>
            <w:tcMar>
              <w:top w:w="0" w:type="dxa"/>
              <w:left w:w="90" w:type="dxa"/>
              <w:bottom w:w="0" w:type="dxa"/>
              <w:right w:w="90" w:type="dxa"/>
            </w:tcMar>
            <w:vAlign w:val="center"/>
          </w:tcPr>
          <w:p w14:paraId="0D619E2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1D5DA7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581A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D201E0F">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400A8A6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56.中央空调运行时若发生异常情况，当班工作人员应及时报告，并做好记录。紧急情况应立即停机，以免发生事故，经专业技术人员检修后，方可重新开机。发现操作不当的，1次扣3分。</w:t>
            </w:r>
          </w:p>
        </w:tc>
        <w:tc>
          <w:tcPr>
            <w:tcW w:w="540" w:type="dxa"/>
            <w:tcBorders>
              <w:tl2br w:val="nil"/>
              <w:tr2bl w:val="nil"/>
            </w:tcBorders>
            <w:noWrap w:val="0"/>
            <w:tcMar>
              <w:top w:w="0" w:type="dxa"/>
              <w:left w:w="90" w:type="dxa"/>
              <w:bottom w:w="0" w:type="dxa"/>
              <w:right w:w="90" w:type="dxa"/>
            </w:tcMar>
            <w:vAlign w:val="center"/>
          </w:tcPr>
          <w:p w14:paraId="68D407D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center"/>
          </w:tcPr>
          <w:p w14:paraId="3688180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776852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144F3D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290C92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57.物业管理公司负责兴化府历史文化街区空调系统的管理、养护和维修等工作，并选聘专业管理公司和人员进行日常运行操控管理，建立操控人员值班、检查、检修等空调养护工作制度，及时做好各项保养维护工作，如发现未按厂家规定定期对设备进行检修、保养、维护的，1次扣3分。</w:t>
            </w:r>
          </w:p>
        </w:tc>
        <w:tc>
          <w:tcPr>
            <w:tcW w:w="540" w:type="dxa"/>
            <w:tcBorders>
              <w:tl2br w:val="nil"/>
              <w:tr2bl w:val="nil"/>
            </w:tcBorders>
            <w:noWrap w:val="0"/>
            <w:tcMar>
              <w:top w:w="0" w:type="dxa"/>
              <w:left w:w="90" w:type="dxa"/>
              <w:bottom w:w="0" w:type="dxa"/>
              <w:right w:w="90" w:type="dxa"/>
            </w:tcMar>
            <w:vAlign w:val="center"/>
          </w:tcPr>
          <w:p w14:paraId="732701F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5E6499D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9232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7EDDD6F">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0D57E0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58.物业管理人员要做好空调的每天检查、每周巡查、半年检修、日常养护等工作。对空调系统运行、保养、维修事故和零部件更换情况进行记录。发现无记录的，1次扣0.5分。</w:t>
            </w:r>
          </w:p>
        </w:tc>
        <w:tc>
          <w:tcPr>
            <w:tcW w:w="540" w:type="dxa"/>
            <w:tcBorders>
              <w:tl2br w:val="nil"/>
              <w:tr2bl w:val="nil"/>
            </w:tcBorders>
            <w:noWrap w:val="0"/>
            <w:tcMar>
              <w:top w:w="0" w:type="dxa"/>
              <w:left w:w="90" w:type="dxa"/>
              <w:bottom w:w="0" w:type="dxa"/>
              <w:right w:w="90" w:type="dxa"/>
            </w:tcMar>
            <w:vAlign w:val="center"/>
          </w:tcPr>
          <w:p w14:paraId="685CFFF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A52E15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2464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67F0AAB0">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4E012410">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59.中央空调运行期间，如发现空调效果不好、漏水、有异常响声、异常气味等情况，应及时安排专业技术人员检修1分析报告及其处理情况记录等资料应妥善保管，及时存档。未能及时到场检修的，1次扣3分。</w:t>
            </w:r>
          </w:p>
        </w:tc>
        <w:tc>
          <w:tcPr>
            <w:tcW w:w="540" w:type="dxa"/>
            <w:tcBorders>
              <w:tl2br w:val="nil"/>
              <w:tr2bl w:val="nil"/>
            </w:tcBorders>
            <w:noWrap w:val="0"/>
            <w:tcMar>
              <w:top w:w="0" w:type="dxa"/>
              <w:left w:w="90" w:type="dxa"/>
              <w:bottom w:w="0" w:type="dxa"/>
              <w:right w:w="90" w:type="dxa"/>
            </w:tcMar>
            <w:vAlign w:val="top"/>
          </w:tcPr>
          <w:p w14:paraId="31284D9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72B7BA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6CAD2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63CC7E2C">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7A10604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60.安排专人负责会议系统的操作工作，缺项的1次扣2 分。</w:t>
            </w:r>
          </w:p>
        </w:tc>
        <w:tc>
          <w:tcPr>
            <w:tcW w:w="540" w:type="dxa"/>
            <w:tcBorders>
              <w:tl2br w:val="nil"/>
              <w:tr2bl w:val="nil"/>
            </w:tcBorders>
            <w:noWrap w:val="0"/>
            <w:tcMar>
              <w:top w:w="0" w:type="dxa"/>
              <w:left w:w="90" w:type="dxa"/>
              <w:bottom w:w="0" w:type="dxa"/>
              <w:right w:w="90" w:type="dxa"/>
            </w:tcMar>
            <w:vAlign w:val="center"/>
          </w:tcPr>
          <w:p w14:paraId="61E72E2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center"/>
          </w:tcPr>
          <w:p w14:paraId="61803DD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DF68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849864F">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38A60AA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61.定期对会议系统进行测试，保证会议系统的正常使用，不影响会议效果，若因会议系统设备问题影响会议效果的，1次扣1分。</w:t>
            </w:r>
          </w:p>
        </w:tc>
        <w:tc>
          <w:tcPr>
            <w:tcW w:w="540" w:type="dxa"/>
            <w:tcBorders>
              <w:tl2br w:val="nil"/>
              <w:tr2bl w:val="nil"/>
            </w:tcBorders>
            <w:noWrap w:val="0"/>
            <w:tcMar>
              <w:top w:w="0" w:type="dxa"/>
              <w:left w:w="90" w:type="dxa"/>
              <w:bottom w:w="0" w:type="dxa"/>
              <w:right w:w="90" w:type="dxa"/>
            </w:tcMar>
            <w:vAlign w:val="center"/>
          </w:tcPr>
          <w:p w14:paraId="320E32C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9BA90D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6E73E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6ACFA5E0">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69CB30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62.保证会议室清洁整齐，协助会议使用单位做好会务工作，发现服务不到位的1次扣0.5分。</w:t>
            </w:r>
          </w:p>
        </w:tc>
        <w:tc>
          <w:tcPr>
            <w:tcW w:w="540" w:type="dxa"/>
            <w:tcBorders>
              <w:tl2br w:val="nil"/>
              <w:tr2bl w:val="nil"/>
            </w:tcBorders>
            <w:noWrap w:val="0"/>
            <w:tcMar>
              <w:top w:w="0" w:type="dxa"/>
              <w:left w:w="90" w:type="dxa"/>
              <w:bottom w:w="0" w:type="dxa"/>
              <w:right w:w="90" w:type="dxa"/>
            </w:tcMar>
            <w:vAlign w:val="top"/>
          </w:tcPr>
          <w:p w14:paraId="5B9E6C7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594EC6D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28EAF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307ECFE">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2AC0DE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63.未经办公室批准，禁止任何单位、企业、个人擅自使用会场；发现一起不制止或不报告的，扣3分，并立即纠正。</w:t>
            </w:r>
          </w:p>
        </w:tc>
        <w:tc>
          <w:tcPr>
            <w:tcW w:w="540" w:type="dxa"/>
            <w:tcBorders>
              <w:tl2br w:val="nil"/>
              <w:tr2bl w:val="nil"/>
            </w:tcBorders>
            <w:noWrap w:val="0"/>
            <w:tcMar>
              <w:top w:w="0" w:type="dxa"/>
              <w:left w:w="90" w:type="dxa"/>
              <w:bottom w:w="0" w:type="dxa"/>
              <w:right w:w="90" w:type="dxa"/>
            </w:tcMar>
            <w:vAlign w:val="top"/>
          </w:tcPr>
          <w:p w14:paraId="0578977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F7F5A4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FDDC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4A2BBAEA">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4DA496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64.保持室内照明灯具、应急照明、各种指示灯仪表良好。检查发现坏3 盏以上的，1次扣0.5分。（因为设备质量问题除外）</w:t>
            </w:r>
          </w:p>
        </w:tc>
        <w:tc>
          <w:tcPr>
            <w:tcW w:w="540" w:type="dxa"/>
            <w:tcBorders>
              <w:tl2br w:val="nil"/>
              <w:tr2bl w:val="nil"/>
            </w:tcBorders>
            <w:noWrap w:val="0"/>
            <w:tcMar>
              <w:top w:w="0" w:type="dxa"/>
              <w:left w:w="90" w:type="dxa"/>
              <w:bottom w:w="0" w:type="dxa"/>
              <w:right w:w="90" w:type="dxa"/>
            </w:tcMar>
            <w:vAlign w:val="top"/>
          </w:tcPr>
          <w:p w14:paraId="3681CB5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EA271B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FDA9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627EE603">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24E8C9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65.设备运行记录、交接班记录必须完整、准确、清晰。若发现虚假或不符事实等问题的，1次扣1分。</w:t>
            </w:r>
          </w:p>
        </w:tc>
        <w:tc>
          <w:tcPr>
            <w:tcW w:w="540" w:type="dxa"/>
            <w:tcBorders>
              <w:tl2br w:val="nil"/>
              <w:tr2bl w:val="nil"/>
            </w:tcBorders>
            <w:noWrap w:val="0"/>
            <w:tcMar>
              <w:top w:w="0" w:type="dxa"/>
              <w:left w:w="90" w:type="dxa"/>
              <w:bottom w:w="0" w:type="dxa"/>
              <w:right w:w="90" w:type="dxa"/>
            </w:tcMar>
            <w:vAlign w:val="top"/>
          </w:tcPr>
          <w:p w14:paraId="551E055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9C00F8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DF6D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6F5DADF8">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E71D6E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66.保持配电室内卫生清洁，不乱堆杂物，禁止吸烟现象。抽查时发现一个烟头以上的1次扣0.5分。</w:t>
            </w:r>
          </w:p>
        </w:tc>
        <w:tc>
          <w:tcPr>
            <w:tcW w:w="540" w:type="dxa"/>
            <w:tcBorders>
              <w:tl2br w:val="nil"/>
              <w:tr2bl w:val="nil"/>
            </w:tcBorders>
            <w:noWrap w:val="0"/>
            <w:tcMar>
              <w:top w:w="0" w:type="dxa"/>
              <w:left w:w="90" w:type="dxa"/>
              <w:bottom w:w="0" w:type="dxa"/>
              <w:right w:w="90" w:type="dxa"/>
            </w:tcMar>
            <w:vAlign w:val="top"/>
          </w:tcPr>
          <w:p w14:paraId="3BB7069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14EAC75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D818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5BAA568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77AC6CD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67.配电室内设备或线路改变的，必须事前上报办公室批准，违者1次扣3分。</w:t>
            </w:r>
          </w:p>
        </w:tc>
        <w:tc>
          <w:tcPr>
            <w:tcW w:w="540" w:type="dxa"/>
            <w:tcBorders>
              <w:tl2br w:val="nil"/>
              <w:tr2bl w:val="nil"/>
            </w:tcBorders>
            <w:noWrap w:val="0"/>
            <w:tcMar>
              <w:top w:w="0" w:type="dxa"/>
              <w:left w:w="90" w:type="dxa"/>
              <w:bottom w:w="0" w:type="dxa"/>
              <w:right w:w="90" w:type="dxa"/>
            </w:tcMar>
            <w:vAlign w:val="top"/>
          </w:tcPr>
          <w:p w14:paraId="73FA3F0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618B79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0EE5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45C9379F">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CDCBB9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68.配电室内配电柜操作开关要有明显标志，停电或检修拉闸时，必须事先报告办公室（特殊或紧急情况除外），并悬挂警示牌。违者1次扣3分。</w:t>
            </w:r>
          </w:p>
        </w:tc>
        <w:tc>
          <w:tcPr>
            <w:tcW w:w="540" w:type="dxa"/>
            <w:tcBorders>
              <w:tl2br w:val="nil"/>
              <w:tr2bl w:val="nil"/>
            </w:tcBorders>
            <w:noWrap w:val="0"/>
            <w:tcMar>
              <w:top w:w="0" w:type="dxa"/>
              <w:left w:w="90" w:type="dxa"/>
              <w:bottom w:w="0" w:type="dxa"/>
              <w:right w:w="90" w:type="dxa"/>
            </w:tcMar>
            <w:vAlign w:val="top"/>
          </w:tcPr>
          <w:p w14:paraId="06269EC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6DA5B72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C7E0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505EDA01">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502395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69.停送电必须严格执行二人制（1 人操作，1 人监护），不按要求操作未造成损失的1次扣5 分，造成损失的，视后果扣10-20分。</w:t>
            </w:r>
          </w:p>
        </w:tc>
        <w:tc>
          <w:tcPr>
            <w:tcW w:w="540" w:type="dxa"/>
            <w:tcBorders>
              <w:tl2br w:val="nil"/>
              <w:tr2bl w:val="nil"/>
            </w:tcBorders>
            <w:noWrap w:val="0"/>
            <w:tcMar>
              <w:top w:w="0" w:type="dxa"/>
              <w:left w:w="90" w:type="dxa"/>
              <w:bottom w:w="0" w:type="dxa"/>
              <w:right w:w="90" w:type="dxa"/>
            </w:tcMar>
            <w:vAlign w:val="top"/>
          </w:tcPr>
          <w:p w14:paraId="08FE2B4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A211D0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33D9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4018CD9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F9BF85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70.必须详细填写工作记录及拉闸记录，未填写或未使用工作记录本的1次扣3-5分。</w:t>
            </w:r>
          </w:p>
        </w:tc>
        <w:tc>
          <w:tcPr>
            <w:tcW w:w="540" w:type="dxa"/>
            <w:tcBorders>
              <w:tl2br w:val="nil"/>
              <w:tr2bl w:val="nil"/>
            </w:tcBorders>
            <w:noWrap w:val="0"/>
            <w:tcMar>
              <w:top w:w="0" w:type="dxa"/>
              <w:left w:w="90" w:type="dxa"/>
              <w:bottom w:w="0" w:type="dxa"/>
              <w:right w:w="90" w:type="dxa"/>
            </w:tcMar>
            <w:vAlign w:val="top"/>
          </w:tcPr>
          <w:p w14:paraId="3BAA5C4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82E451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5EC01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24CAFC9">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3DA6E9E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71.停送电必须预先通知办公室；停电时（线路停电除外）须确认电梯为无人状态后，方可进行操作。未通知造成不良影响的1次扣1-3分，造成严重影响的扣5-10分。</w:t>
            </w:r>
          </w:p>
        </w:tc>
        <w:tc>
          <w:tcPr>
            <w:tcW w:w="540" w:type="dxa"/>
            <w:tcBorders>
              <w:tl2br w:val="nil"/>
              <w:tr2bl w:val="nil"/>
            </w:tcBorders>
            <w:noWrap w:val="0"/>
            <w:tcMar>
              <w:top w:w="0" w:type="dxa"/>
              <w:left w:w="90" w:type="dxa"/>
              <w:bottom w:w="0" w:type="dxa"/>
              <w:right w:w="90" w:type="dxa"/>
            </w:tcMar>
            <w:vAlign w:val="top"/>
          </w:tcPr>
          <w:p w14:paraId="3EA43BE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420101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21B9D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DE3E75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F221410">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72.停送电操作时必须悬挂警示牌，并用模拟牌标示出来，未悬挂警示牌或模拟牌标示的1次扣5分。</w:t>
            </w:r>
          </w:p>
        </w:tc>
        <w:tc>
          <w:tcPr>
            <w:tcW w:w="540" w:type="dxa"/>
            <w:tcBorders>
              <w:tl2br w:val="nil"/>
              <w:tr2bl w:val="nil"/>
            </w:tcBorders>
            <w:noWrap w:val="0"/>
            <w:tcMar>
              <w:top w:w="0" w:type="dxa"/>
              <w:left w:w="90" w:type="dxa"/>
              <w:bottom w:w="0" w:type="dxa"/>
              <w:right w:w="90" w:type="dxa"/>
            </w:tcMar>
            <w:vAlign w:val="top"/>
          </w:tcPr>
          <w:p w14:paraId="7C299DF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CFA644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31A7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5637C0D7">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7B7C143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73.必须保证配电室内通风、照明及应急照明完好。抽查发现2盏以上照明灯或通风有故障的，1次扣0.5分；每多一盏故障灯加扣1分。</w:t>
            </w:r>
          </w:p>
        </w:tc>
        <w:tc>
          <w:tcPr>
            <w:tcW w:w="540" w:type="dxa"/>
            <w:tcBorders>
              <w:tl2br w:val="nil"/>
              <w:tr2bl w:val="nil"/>
            </w:tcBorders>
            <w:noWrap w:val="0"/>
            <w:tcMar>
              <w:top w:w="0" w:type="dxa"/>
              <w:left w:w="90" w:type="dxa"/>
              <w:bottom w:w="0" w:type="dxa"/>
              <w:right w:w="90" w:type="dxa"/>
            </w:tcMar>
            <w:vAlign w:val="top"/>
          </w:tcPr>
          <w:p w14:paraId="7A39579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C0C191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AB1F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7979681C">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B199090">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74.机房内应保持整洁，无烟头及杂物乱堆现象；保持机身洁净仪表清晰。抽查时发现不合格的1次扣0.5分。</w:t>
            </w:r>
          </w:p>
        </w:tc>
        <w:tc>
          <w:tcPr>
            <w:tcW w:w="540" w:type="dxa"/>
            <w:tcBorders>
              <w:tl2br w:val="nil"/>
              <w:tr2bl w:val="nil"/>
            </w:tcBorders>
            <w:noWrap w:val="0"/>
            <w:tcMar>
              <w:top w:w="0" w:type="dxa"/>
              <w:left w:w="90" w:type="dxa"/>
              <w:bottom w:w="0" w:type="dxa"/>
              <w:right w:w="90" w:type="dxa"/>
            </w:tcMar>
            <w:vAlign w:val="center"/>
          </w:tcPr>
          <w:p w14:paraId="725086D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C4D212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62754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48E2A0FD">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9E9EC4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75.设备维修时应设警示牌，维修完毕后，必须做好现场清理，必要时须通知清洁人员协助处理，未清理现场的1次扣0.5分。</w:t>
            </w:r>
          </w:p>
        </w:tc>
        <w:tc>
          <w:tcPr>
            <w:tcW w:w="540" w:type="dxa"/>
            <w:tcBorders>
              <w:tl2br w:val="nil"/>
              <w:tr2bl w:val="nil"/>
            </w:tcBorders>
            <w:noWrap w:val="0"/>
            <w:tcMar>
              <w:top w:w="0" w:type="dxa"/>
              <w:left w:w="90" w:type="dxa"/>
              <w:bottom w:w="0" w:type="dxa"/>
              <w:right w:w="90" w:type="dxa"/>
            </w:tcMar>
            <w:vAlign w:val="center"/>
          </w:tcPr>
          <w:p w14:paraId="633F2ED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3B47A86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9865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A682273">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157777B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76.带电作业时，必须做好绝缘处理，并在有看护人的监护下方可工作。未作绝缘处理造成严重后果的1次扣10分，造成一般后果的1次扣5分。  </w:t>
            </w:r>
          </w:p>
        </w:tc>
        <w:tc>
          <w:tcPr>
            <w:tcW w:w="540" w:type="dxa"/>
            <w:tcBorders>
              <w:tl2br w:val="nil"/>
              <w:tr2bl w:val="nil"/>
            </w:tcBorders>
            <w:noWrap w:val="0"/>
            <w:tcMar>
              <w:top w:w="0" w:type="dxa"/>
              <w:left w:w="90" w:type="dxa"/>
              <w:bottom w:w="0" w:type="dxa"/>
              <w:right w:w="90" w:type="dxa"/>
            </w:tcMar>
            <w:vAlign w:val="top"/>
          </w:tcPr>
          <w:p w14:paraId="22420EB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6C4485A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021B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AA823D5">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50D0A92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77.必须建立供电设备设施维护保养计划，并制作成文档，报办公室一份备案；要安排专人进行月保养、季保养、半年保养、年保养；保养计划实施必须定岗、定人，保养人员需对保养设备区域签名负责；保养计划须在计划规定时间内完成。未按时按质完成的1次扣1分。</w:t>
            </w:r>
          </w:p>
        </w:tc>
        <w:tc>
          <w:tcPr>
            <w:tcW w:w="540" w:type="dxa"/>
            <w:tcBorders>
              <w:tl2br w:val="nil"/>
              <w:tr2bl w:val="nil"/>
            </w:tcBorders>
            <w:noWrap w:val="0"/>
            <w:tcMar>
              <w:top w:w="0" w:type="dxa"/>
              <w:left w:w="90" w:type="dxa"/>
              <w:bottom w:w="0" w:type="dxa"/>
              <w:right w:w="90" w:type="dxa"/>
            </w:tcMar>
            <w:vAlign w:val="top"/>
          </w:tcPr>
          <w:p w14:paraId="515CB73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4AF4ADB">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05E8B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2F2FDB9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7A4886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78.确保设备运行平稳，无抖动、摆动或异响现象。如发现有异常应及时通知专业公司进行维护，不作为的1次扣0.5分。</w:t>
            </w:r>
          </w:p>
        </w:tc>
        <w:tc>
          <w:tcPr>
            <w:tcW w:w="540" w:type="dxa"/>
            <w:tcBorders>
              <w:tl2br w:val="nil"/>
              <w:tr2bl w:val="nil"/>
            </w:tcBorders>
            <w:noWrap w:val="0"/>
            <w:tcMar>
              <w:top w:w="0" w:type="dxa"/>
              <w:left w:w="90" w:type="dxa"/>
              <w:bottom w:w="0" w:type="dxa"/>
              <w:right w:w="90" w:type="dxa"/>
            </w:tcMar>
            <w:vAlign w:val="top"/>
          </w:tcPr>
          <w:p w14:paraId="2606F648">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698751C1">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601F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70A5717">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451E7D6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79.确保古建筑的定期清洁打 扫、日常通风换气等工作,保持古建筑整洁、无蛛网、 无浮尘，抽查时不符合1项以上的1次扣 0.5分。</w:t>
            </w:r>
          </w:p>
        </w:tc>
        <w:tc>
          <w:tcPr>
            <w:tcW w:w="540" w:type="dxa"/>
            <w:tcBorders>
              <w:tl2br w:val="nil"/>
              <w:tr2bl w:val="nil"/>
            </w:tcBorders>
            <w:noWrap w:val="0"/>
            <w:tcMar>
              <w:top w:w="0" w:type="dxa"/>
              <w:left w:w="90" w:type="dxa"/>
              <w:bottom w:w="0" w:type="dxa"/>
              <w:right w:w="90" w:type="dxa"/>
            </w:tcMar>
            <w:vAlign w:val="top"/>
          </w:tcPr>
          <w:p w14:paraId="57FCCF2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3155E4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3B528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0E942878">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CCFF42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80.检查门、窗等木装修,发现松动、脱落应及时 修整紧固;如有门、窗残损、缺失,应及时按原样补配，不作为的1次扣0.5分。</w:t>
            </w:r>
          </w:p>
        </w:tc>
        <w:tc>
          <w:tcPr>
            <w:tcW w:w="540" w:type="dxa"/>
            <w:tcBorders>
              <w:tl2br w:val="nil"/>
              <w:tr2bl w:val="nil"/>
            </w:tcBorders>
            <w:noWrap w:val="0"/>
            <w:tcMar>
              <w:top w:w="0" w:type="dxa"/>
              <w:left w:w="90" w:type="dxa"/>
              <w:bottom w:w="0" w:type="dxa"/>
              <w:right w:w="90" w:type="dxa"/>
            </w:tcMar>
            <w:vAlign w:val="top"/>
          </w:tcPr>
          <w:p w14:paraId="7880014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4921478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EC12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2688A27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4A3B501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81.古建筑地面铺装,发现个别歪闪、移位、缺 失,应及时归安、添配。超过6个小时未及时修补的1次扣0.5分。</w:t>
            </w:r>
          </w:p>
        </w:tc>
        <w:tc>
          <w:tcPr>
            <w:tcW w:w="540" w:type="dxa"/>
            <w:tcBorders>
              <w:tl2br w:val="nil"/>
              <w:tr2bl w:val="nil"/>
            </w:tcBorders>
            <w:noWrap w:val="0"/>
            <w:tcMar>
              <w:top w:w="0" w:type="dxa"/>
              <w:left w:w="90" w:type="dxa"/>
              <w:bottom w:w="0" w:type="dxa"/>
              <w:right w:w="90" w:type="dxa"/>
            </w:tcMar>
            <w:vAlign w:val="top"/>
          </w:tcPr>
          <w:p w14:paraId="2AB60B6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51C21C5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189FC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0E02EB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4CA3B09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82.对街区制定专门专业的定期巡查计划表。不按要求操作的1次扣0.5分。（附：古街巡查表样式）</w:t>
            </w:r>
          </w:p>
        </w:tc>
        <w:tc>
          <w:tcPr>
            <w:tcW w:w="540" w:type="dxa"/>
            <w:tcBorders>
              <w:tl2br w:val="nil"/>
              <w:tr2bl w:val="nil"/>
            </w:tcBorders>
            <w:noWrap w:val="0"/>
            <w:tcMar>
              <w:top w:w="0" w:type="dxa"/>
              <w:left w:w="90" w:type="dxa"/>
              <w:bottom w:w="0" w:type="dxa"/>
              <w:right w:w="90" w:type="dxa"/>
            </w:tcMar>
            <w:vAlign w:val="center"/>
          </w:tcPr>
          <w:p w14:paraId="397657B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604DA6F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6FD81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4FE7C86B">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79E05D3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83.检查街区内外排水系统,及时清除 泄水口周围杂物垃圾,疏通天沟及明暗排水沟,及时更换破损构件。未有实施或工作不到位的，1次扣3分，并要求立即补做。</w:t>
            </w:r>
          </w:p>
        </w:tc>
        <w:tc>
          <w:tcPr>
            <w:tcW w:w="540" w:type="dxa"/>
            <w:tcBorders>
              <w:tl2br w:val="nil"/>
              <w:tr2bl w:val="nil"/>
            </w:tcBorders>
            <w:noWrap w:val="0"/>
            <w:tcMar>
              <w:top w:w="0" w:type="dxa"/>
              <w:left w:w="90" w:type="dxa"/>
              <w:bottom w:w="0" w:type="dxa"/>
              <w:right w:w="90" w:type="dxa"/>
            </w:tcMar>
            <w:vAlign w:val="top"/>
          </w:tcPr>
          <w:p w14:paraId="5D4D6ED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2E7534E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72C71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2705F27E">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340512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84.确保各种设备的运行、维护记录及报表齐全。每缺1项扣1分。接到报修通知后，维修人员必须于10 分钟内赶到现场，当日维修完毕。人为原因拖延时间或不作为的1次扣1 分。  </w:t>
            </w:r>
          </w:p>
        </w:tc>
        <w:tc>
          <w:tcPr>
            <w:tcW w:w="540" w:type="dxa"/>
            <w:tcBorders>
              <w:tl2br w:val="nil"/>
              <w:tr2bl w:val="nil"/>
            </w:tcBorders>
            <w:noWrap w:val="0"/>
            <w:tcMar>
              <w:top w:w="0" w:type="dxa"/>
              <w:left w:w="90" w:type="dxa"/>
              <w:bottom w:w="0" w:type="dxa"/>
              <w:right w:w="90" w:type="dxa"/>
            </w:tcMar>
            <w:vAlign w:val="top"/>
          </w:tcPr>
          <w:p w14:paraId="579CE910">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1EC459A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22C47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3AEE0F78">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05638023">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85.维修人员不得推诿本职工作。发现1次扣1分，同一人出现二次以上的，可要求物业管理公司予以辞退。</w:t>
            </w:r>
          </w:p>
        </w:tc>
        <w:tc>
          <w:tcPr>
            <w:tcW w:w="540" w:type="dxa"/>
            <w:tcBorders>
              <w:tl2br w:val="nil"/>
              <w:tr2bl w:val="nil"/>
            </w:tcBorders>
            <w:noWrap w:val="0"/>
            <w:tcMar>
              <w:top w:w="0" w:type="dxa"/>
              <w:left w:w="90" w:type="dxa"/>
              <w:bottom w:w="0" w:type="dxa"/>
              <w:right w:w="90" w:type="dxa"/>
            </w:tcMar>
            <w:vAlign w:val="top"/>
          </w:tcPr>
          <w:p w14:paraId="3C4E9E8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7BC293C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6EE70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1A1C1A9D">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290E177D">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86.设备设施的巡查工作应按预定计划进行，发现问题应及时处理，并作好记录。对应发现而未发现的，1次扣1分；对已发现而未及时处理或不处理的，扣5分。</w:t>
            </w:r>
          </w:p>
        </w:tc>
        <w:tc>
          <w:tcPr>
            <w:tcW w:w="540" w:type="dxa"/>
            <w:tcBorders>
              <w:tl2br w:val="nil"/>
              <w:tr2bl w:val="nil"/>
            </w:tcBorders>
            <w:noWrap w:val="0"/>
            <w:tcMar>
              <w:top w:w="0" w:type="dxa"/>
              <w:left w:w="90" w:type="dxa"/>
              <w:bottom w:w="0" w:type="dxa"/>
              <w:right w:w="90" w:type="dxa"/>
            </w:tcMar>
            <w:vAlign w:val="center"/>
          </w:tcPr>
          <w:p w14:paraId="40171B42">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5048F6D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6FCC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vMerge w:val="continue"/>
            <w:tcBorders>
              <w:tl2br w:val="nil"/>
              <w:tr2bl w:val="nil"/>
            </w:tcBorders>
            <w:noWrap w:val="0"/>
            <w:tcMar>
              <w:top w:w="0" w:type="dxa"/>
              <w:left w:w="90" w:type="dxa"/>
              <w:bottom w:w="0" w:type="dxa"/>
              <w:right w:w="90" w:type="dxa"/>
            </w:tcMar>
            <w:vAlign w:val="center"/>
          </w:tcPr>
          <w:p w14:paraId="29891636">
            <w:pPr>
              <w:keepNext w:val="0"/>
              <w:keepLines w:val="0"/>
              <w:pageBreakBefore w:val="0"/>
              <w:widowControl/>
              <w:kinsoku/>
              <w:overflowPunct/>
              <w:topLinePunct w:val="0"/>
              <w:bidi w:val="0"/>
              <w:adjustRightInd/>
              <w:snapToGrid/>
              <w:spacing w:beforeAutospacing="0" w:afterAutospacing="0" w:line="320" w:lineRule="exact"/>
              <w:rPr>
                <w:rFonts w:ascii="宋体" w:hAnsi="宋体" w:eastAsia="宋体" w:cs="宋体"/>
                <w:sz w:val="24"/>
                <w:szCs w:val="21"/>
                <w:highlight w:val="none"/>
              </w:rPr>
            </w:pPr>
          </w:p>
        </w:tc>
        <w:tc>
          <w:tcPr>
            <w:tcW w:w="7178" w:type="dxa"/>
            <w:tcBorders>
              <w:tl2br w:val="nil"/>
              <w:tr2bl w:val="nil"/>
            </w:tcBorders>
            <w:noWrap w:val="0"/>
            <w:tcMar>
              <w:top w:w="0" w:type="dxa"/>
              <w:left w:w="90" w:type="dxa"/>
              <w:bottom w:w="0" w:type="dxa"/>
              <w:right w:w="90" w:type="dxa"/>
            </w:tcMar>
            <w:vAlign w:val="top"/>
          </w:tcPr>
          <w:p w14:paraId="65D57369">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87.要制定详细的设备月、季、年保养计划，并报办公室备案，严格按照计划认真执行。发现未按保养计划执行又无合理理由的，1次扣1分。</w:t>
            </w:r>
          </w:p>
        </w:tc>
        <w:tc>
          <w:tcPr>
            <w:tcW w:w="540" w:type="dxa"/>
            <w:tcBorders>
              <w:tl2br w:val="nil"/>
              <w:tr2bl w:val="nil"/>
            </w:tcBorders>
            <w:noWrap w:val="0"/>
            <w:tcMar>
              <w:top w:w="0" w:type="dxa"/>
              <w:left w:w="90" w:type="dxa"/>
              <w:bottom w:w="0" w:type="dxa"/>
              <w:right w:w="90" w:type="dxa"/>
            </w:tcMar>
            <w:vAlign w:val="top"/>
          </w:tcPr>
          <w:p w14:paraId="5C71FBE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4CB5E64">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609000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tcBorders>
              <w:tl2br w:val="nil"/>
              <w:tr2bl w:val="nil"/>
            </w:tcBorders>
            <w:noWrap w:val="0"/>
            <w:tcMar>
              <w:top w:w="0" w:type="dxa"/>
              <w:left w:w="90" w:type="dxa"/>
              <w:bottom w:w="0" w:type="dxa"/>
              <w:right w:w="90" w:type="dxa"/>
            </w:tcMar>
            <w:vAlign w:val="center"/>
          </w:tcPr>
          <w:p w14:paraId="5055CBFA">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六、物业档案管理（10分）</w:t>
            </w:r>
          </w:p>
        </w:tc>
        <w:tc>
          <w:tcPr>
            <w:tcW w:w="7178" w:type="dxa"/>
            <w:tcBorders>
              <w:tl2br w:val="nil"/>
              <w:tr2bl w:val="nil"/>
            </w:tcBorders>
            <w:noWrap w:val="0"/>
            <w:tcMar>
              <w:top w:w="0" w:type="dxa"/>
              <w:left w:w="90" w:type="dxa"/>
              <w:bottom w:w="0" w:type="dxa"/>
              <w:right w:w="90" w:type="dxa"/>
            </w:tcMar>
            <w:vAlign w:val="top"/>
          </w:tcPr>
          <w:p w14:paraId="66EB08A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88.检查是否进行科学分类，并不断进行补充完善，并应用计算机实施规范化管理，建立完整的档案库，全面记录古建筑本体、保护性设施和周边环境的现状 情况、病害情况等基础信息,作为后续观察、分析比对、巡视检查和维修保护工作的依据，每发现1项不齐全或不完善的1次扣0.5分。</w:t>
            </w:r>
          </w:p>
        </w:tc>
        <w:tc>
          <w:tcPr>
            <w:tcW w:w="540" w:type="dxa"/>
            <w:tcBorders>
              <w:tl2br w:val="nil"/>
              <w:tr2bl w:val="nil"/>
            </w:tcBorders>
            <w:noWrap w:val="0"/>
            <w:tcMar>
              <w:top w:w="0" w:type="dxa"/>
              <w:left w:w="90" w:type="dxa"/>
              <w:bottom w:w="0" w:type="dxa"/>
              <w:right w:w="90" w:type="dxa"/>
            </w:tcMar>
            <w:vAlign w:val="top"/>
          </w:tcPr>
          <w:p w14:paraId="7DF4A45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16C4CCD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37021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tcBorders>
              <w:tl2br w:val="nil"/>
              <w:tr2bl w:val="nil"/>
            </w:tcBorders>
            <w:noWrap w:val="0"/>
            <w:tcMar>
              <w:top w:w="0" w:type="dxa"/>
              <w:left w:w="90" w:type="dxa"/>
              <w:bottom w:w="0" w:type="dxa"/>
              <w:right w:w="90" w:type="dxa"/>
            </w:tcMar>
            <w:vAlign w:val="center"/>
          </w:tcPr>
          <w:p w14:paraId="2058622A">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七、投诉情况（10分）</w:t>
            </w:r>
          </w:p>
        </w:tc>
        <w:tc>
          <w:tcPr>
            <w:tcW w:w="7178" w:type="dxa"/>
            <w:tcBorders>
              <w:tl2br w:val="nil"/>
              <w:tr2bl w:val="nil"/>
            </w:tcBorders>
            <w:noWrap w:val="0"/>
            <w:tcMar>
              <w:top w:w="0" w:type="dxa"/>
              <w:left w:w="90" w:type="dxa"/>
              <w:bottom w:w="0" w:type="dxa"/>
              <w:right w:w="90" w:type="dxa"/>
            </w:tcMar>
            <w:vAlign w:val="top"/>
          </w:tcPr>
          <w:p w14:paraId="523939BE">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89.凡受到进驻商户和消费群众投诉，一经查实，视情每次扣1-3分。</w:t>
            </w:r>
          </w:p>
        </w:tc>
        <w:tc>
          <w:tcPr>
            <w:tcW w:w="540" w:type="dxa"/>
            <w:tcBorders>
              <w:tl2br w:val="nil"/>
              <w:tr2bl w:val="nil"/>
            </w:tcBorders>
            <w:noWrap w:val="0"/>
            <w:tcMar>
              <w:top w:w="0" w:type="dxa"/>
              <w:left w:w="90" w:type="dxa"/>
              <w:bottom w:w="0" w:type="dxa"/>
              <w:right w:w="90" w:type="dxa"/>
            </w:tcMar>
            <w:vAlign w:val="center"/>
          </w:tcPr>
          <w:p w14:paraId="31E9AFF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44A15DA">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7E770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15" w:type="dxa"/>
        </w:trPr>
        <w:tc>
          <w:tcPr>
            <w:tcW w:w="1429" w:type="dxa"/>
            <w:tcBorders>
              <w:tl2br w:val="nil"/>
              <w:tr2bl w:val="nil"/>
            </w:tcBorders>
            <w:noWrap w:val="0"/>
            <w:tcMar>
              <w:top w:w="0" w:type="dxa"/>
              <w:left w:w="90" w:type="dxa"/>
              <w:bottom w:w="0" w:type="dxa"/>
              <w:right w:w="90" w:type="dxa"/>
            </w:tcMar>
            <w:vAlign w:val="center"/>
          </w:tcPr>
          <w:p w14:paraId="1954182E">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八、社会满意度测评</w:t>
            </w:r>
          </w:p>
          <w:p w14:paraId="275BAB4F">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或中心管理人员结其综合评定（10分）</w:t>
            </w:r>
          </w:p>
        </w:tc>
        <w:tc>
          <w:tcPr>
            <w:tcW w:w="7178" w:type="dxa"/>
            <w:tcBorders>
              <w:tl2br w:val="nil"/>
              <w:tr2bl w:val="nil"/>
            </w:tcBorders>
            <w:noWrap w:val="0"/>
            <w:tcMar>
              <w:top w:w="0" w:type="dxa"/>
              <w:left w:w="90" w:type="dxa"/>
              <w:bottom w:w="0" w:type="dxa"/>
              <w:right w:w="90" w:type="dxa"/>
            </w:tcMar>
            <w:vAlign w:val="center"/>
          </w:tcPr>
          <w:p w14:paraId="381EA197">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90.商户占40%、采购方30%、消费者30%。</w:t>
            </w:r>
          </w:p>
          <w:p w14:paraId="6B054E86">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采购方对物业管理综合评定分满意、较满意、及格或差等级，分别得分为9分、7.5分、6分、0-5分</w:t>
            </w:r>
          </w:p>
        </w:tc>
        <w:tc>
          <w:tcPr>
            <w:tcW w:w="540" w:type="dxa"/>
            <w:tcBorders>
              <w:tl2br w:val="nil"/>
              <w:tr2bl w:val="nil"/>
            </w:tcBorders>
            <w:noWrap w:val="0"/>
            <w:tcMar>
              <w:top w:w="0" w:type="dxa"/>
              <w:left w:w="90" w:type="dxa"/>
              <w:bottom w:w="0" w:type="dxa"/>
              <w:right w:w="90" w:type="dxa"/>
            </w:tcMar>
            <w:vAlign w:val="top"/>
          </w:tcPr>
          <w:p w14:paraId="75788DD5">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c>
          <w:tcPr>
            <w:tcW w:w="611" w:type="dxa"/>
            <w:tcBorders>
              <w:tl2br w:val="nil"/>
              <w:tr2bl w:val="nil"/>
            </w:tcBorders>
            <w:noWrap w:val="0"/>
            <w:tcMar>
              <w:top w:w="0" w:type="dxa"/>
              <w:left w:w="90" w:type="dxa"/>
              <w:bottom w:w="0" w:type="dxa"/>
              <w:right w:w="90" w:type="dxa"/>
            </w:tcMar>
            <w:vAlign w:val="top"/>
          </w:tcPr>
          <w:p w14:paraId="0A2EC77C">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r w14:paraId="414A2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506" w:hRule="atLeast"/>
          <w:tblCellSpacing w:w="15" w:type="dxa"/>
        </w:trPr>
        <w:tc>
          <w:tcPr>
            <w:tcW w:w="1429" w:type="dxa"/>
            <w:tcBorders>
              <w:tl2br w:val="nil"/>
              <w:tr2bl w:val="nil"/>
            </w:tcBorders>
            <w:noWrap w:val="0"/>
            <w:tcMar>
              <w:top w:w="0" w:type="dxa"/>
              <w:left w:w="90" w:type="dxa"/>
              <w:bottom w:w="0" w:type="dxa"/>
              <w:right w:w="90" w:type="dxa"/>
            </w:tcMar>
            <w:vAlign w:val="center"/>
          </w:tcPr>
          <w:p w14:paraId="6B57D433">
            <w:pPr>
              <w:keepNext w:val="0"/>
              <w:keepLines w:val="0"/>
              <w:pageBreakBefore w:val="0"/>
              <w:widowControl/>
              <w:kinsoku/>
              <w:overflowPunct/>
              <w:topLinePunct w:val="0"/>
              <w:bidi w:val="0"/>
              <w:adjustRightInd/>
              <w:snapToGrid/>
              <w:spacing w:beforeAutospacing="0" w:afterAutospacing="0" w:line="320" w:lineRule="exact"/>
              <w:jc w:val="center"/>
              <w:rPr>
                <w:rFonts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总分</w:t>
            </w:r>
          </w:p>
        </w:tc>
        <w:tc>
          <w:tcPr>
            <w:tcW w:w="8389" w:type="dxa"/>
            <w:gridSpan w:val="3"/>
            <w:tcBorders>
              <w:tl2br w:val="nil"/>
              <w:tr2bl w:val="nil"/>
            </w:tcBorders>
            <w:noWrap w:val="0"/>
            <w:tcMar>
              <w:top w:w="0" w:type="dxa"/>
              <w:left w:w="90" w:type="dxa"/>
              <w:bottom w:w="0" w:type="dxa"/>
              <w:right w:w="90" w:type="dxa"/>
            </w:tcMar>
            <w:vAlign w:val="top"/>
          </w:tcPr>
          <w:p w14:paraId="73BBD160">
            <w:pPr>
              <w:keepNext w:val="0"/>
              <w:keepLines w:val="0"/>
              <w:pageBreakBefore w:val="0"/>
              <w:widowControl/>
              <w:kinsoku/>
              <w:overflowPunct/>
              <w:topLinePunct w:val="0"/>
              <w:bidi w:val="0"/>
              <w:adjustRightInd/>
              <w:snapToGrid/>
              <w:spacing w:beforeAutospacing="0" w:afterAutospacing="0" w:line="320" w:lineRule="exact"/>
              <w:jc w:val="left"/>
              <w:rPr>
                <w:rFonts w:ascii="宋体" w:hAnsi="宋体" w:eastAsia="宋体" w:cs="宋体"/>
                <w:sz w:val="24"/>
                <w:szCs w:val="21"/>
                <w:highlight w:val="none"/>
              </w:rPr>
            </w:pPr>
          </w:p>
        </w:tc>
      </w:tr>
    </w:tbl>
    <w:p w14:paraId="4F65396C">
      <w:pPr>
        <w:keepNext w:val="0"/>
        <w:keepLines w:val="0"/>
        <w:pageBreakBefore w:val="0"/>
        <w:kinsoku/>
        <w:overflowPunct/>
        <w:topLinePunct w:val="0"/>
        <w:autoSpaceDN/>
        <w:bidi w:val="0"/>
        <w:adjustRightInd/>
        <w:snapToGrid w:val="0"/>
        <w:spacing w:line="240" w:lineRule="auto"/>
        <w:ind w:right="0" w:rightChars="0"/>
        <w:outlineLvl w:val="9"/>
      </w:pPr>
      <w:r>
        <w:rPr>
          <w:rFonts w:hint="eastAsia" w:ascii="宋体" w:hAnsi="宋体" w:eastAsia="宋体" w:cs="宋体"/>
          <w:b/>
          <w:bCs/>
          <w:kern w:val="0"/>
          <w:sz w:val="24"/>
          <w:szCs w:val="24"/>
          <w:highlight w:val="none"/>
          <w:shd w:val="clear" w:color="auto" w:fill="FFFFFF"/>
          <w:lang w:val="en-US" w:eastAsia="zh-CN" w:bidi="ar-SA"/>
        </w:rPr>
        <w:t>备注</w:t>
      </w:r>
      <w:r>
        <w:rPr>
          <w:rFonts w:hint="eastAsia" w:ascii="宋体" w:hAnsi="宋体" w:eastAsia="宋体" w:cs="宋体"/>
          <w:kern w:val="0"/>
          <w:sz w:val="24"/>
          <w:szCs w:val="24"/>
          <w:highlight w:val="none"/>
          <w:shd w:val="clear" w:color="auto" w:fill="FFFFFF"/>
          <w:lang w:val="en-US" w:eastAsia="zh-CN" w:bidi="ar-SA"/>
        </w:rPr>
        <w:t>：每月考核一次，试用期内任何一个月考核得分低于80分的，视为考核不合格，业主有权解除合同，试用期后根据每月考核分数按比例支付当月物业费用。</w:t>
      </w:r>
    </w:p>
    <w:sectPr>
      <w:footerReference r:id="rId3" w:type="default"/>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B66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1E095">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91E095">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A7B84"/>
    <w:multiLevelType w:val="multilevel"/>
    <w:tmpl w:val="2A0A7B84"/>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348D38D4"/>
    <w:multiLevelType w:val="multilevel"/>
    <w:tmpl w:val="348D38D4"/>
    <w:lvl w:ilvl="0" w:tentative="0">
      <w:start w:val="1"/>
      <w:numFmt w:val="decimal"/>
      <w:suff w:val="nothing"/>
      <w:lvlText w:val="第%1章 "/>
      <w:lvlJc w:val="left"/>
      <w:pPr>
        <w:tabs>
          <w:tab w:val="left" w:pos="0"/>
        </w:tabs>
        <w:ind w:left="432" w:hanging="432"/>
      </w:pPr>
      <w:rPr>
        <w:rFonts w:hint="default" w:ascii="Times New Roman" w:hAnsi="Times New Roman" w:eastAsia="黑体" w:cs="宋体"/>
      </w:rPr>
    </w:lvl>
    <w:lvl w:ilvl="1" w:tentative="0">
      <w:start w:val="1"/>
      <w:numFmt w:val="decimal"/>
      <w:isLgl/>
      <w:lvlText w:val="%1.%2"/>
      <w:lvlJc w:val="left"/>
      <w:pPr>
        <w:tabs>
          <w:tab w:val="left" w:pos="420"/>
        </w:tabs>
        <w:ind w:left="575" w:hanging="575"/>
      </w:pPr>
      <w:rPr>
        <w:rFonts w:hint="default" w:ascii="Times New Roman" w:hAnsi="Times New Roman" w:eastAsia="宋体" w:cs="宋体"/>
        <w:sz w:val="32"/>
        <w:szCs w:val="32"/>
      </w:rPr>
    </w:lvl>
    <w:lvl w:ilvl="2" w:tentative="0">
      <w:start w:val="1"/>
      <w:numFmt w:val="decimal"/>
      <w:pStyle w:val="4"/>
      <w:isLgl/>
      <w:lvlText w:val="%1.%2.%3"/>
      <w:lvlJc w:val="left"/>
      <w:pPr>
        <w:ind w:left="720" w:hanging="720"/>
      </w:pPr>
      <w:rPr>
        <w:rFonts w:hint="default" w:ascii="Times New Roman" w:hAnsi="Times New Roman" w:eastAsia="宋体" w:cs="宋体"/>
      </w:rPr>
    </w:lvl>
    <w:lvl w:ilvl="3" w:tentative="0">
      <w:start w:val="1"/>
      <w:numFmt w:val="decimal"/>
      <w:isLgl/>
      <w:lvlText w:val="%1.%2.%3.%4"/>
      <w:lvlJc w:val="left"/>
      <w:pPr>
        <w:ind w:left="864" w:hanging="864"/>
      </w:pPr>
      <w:rPr>
        <w:rFonts w:hint="default" w:ascii="Times New Roman" w:hAnsi="Times New Roman" w:eastAsia="宋体" w:cs="宋体"/>
      </w:rPr>
    </w:lvl>
    <w:lvl w:ilvl="4" w:tentative="0">
      <w:start w:val="1"/>
      <w:numFmt w:val="decimal"/>
      <w:lvlRestart w:val="2"/>
      <w:lvlText w:val="图%1.%2-%5"/>
      <w:lvlJc w:val="left"/>
      <w:pPr>
        <w:ind w:left="1008" w:hanging="1008"/>
      </w:pPr>
      <w:rPr>
        <w:rFonts w:hint="default" w:ascii="Times New Roman" w:hAnsi="Times New Roman" w:eastAsia="宋体" w:cs="宋体"/>
        <w:b/>
        <w:sz w:val="24"/>
        <w:szCs w:val="24"/>
      </w:rPr>
    </w:lvl>
    <w:lvl w:ilvl="5" w:tentative="0">
      <w:start w:val="1"/>
      <w:numFmt w:val="decimal"/>
      <w:lvlRestart w:val="2"/>
      <w:lvlText w:val="表%1.%2-%6"/>
      <w:lvlJc w:val="left"/>
      <w:pPr>
        <w:ind w:left="1151" w:hanging="1151"/>
      </w:pPr>
      <w:rPr>
        <w:rFonts w:hint="default" w:ascii="Times New Roman" w:hAnsi="Times New Roman" w:eastAsia="宋体" w:cs="宋体"/>
        <w:b/>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DQyODUwZWZjZDZkYjJmZDk5MWNmZWI3ZTk1MDcifQ=="/>
  </w:docVars>
  <w:rsids>
    <w:rsidRoot w:val="00082D7E"/>
    <w:rsid w:val="00082D7E"/>
    <w:rsid w:val="002501A6"/>
    <w:rsid w:val="002F4C69"/>
    <w:rsid w:val="007C7F4F"/>
    <w:rsid w:val="00E12941"/>
    <w:rsid w:val="014A6B7B"/>
    <w:rsid w:val="01D12101"/>
    <w:rsid w:val="023D2630"/>
    <w:rsid w:val="025206BA"/>
    <w:rsid w:val="028D60C4"/>
    <w:rsid w:val="02A76E3F"/>
    <w:rsid w:val="02D92DFE"/>
    <w:rsid w:val="02DC2D36"/>
    <w:rsid w:val="03B42118"/>
    <w:rsid w:val="051A730B"/>
    <w:rsid w:val="05370C0F"/>
    <w:rsid w:val="05937169"/>
    <w:rsid w:val="068B1C1B"/>
    <w:rsid w:val="08D56889"/>
    <w:rsid w:val="08DE33AB"/>
    <w:rsid w:val="08E50D18"/>
    <w:rsid w:val="095619D8"/>
    <w:rsid w:val="097B6F25"/>
    <w:rsid w:val="09857075"/>
    <w:rsid w:val="09C744E8"/>
    <w:rsid w:val="0A4C5E14"/>
    <w:rsid w:val="0AEE711F"/>
    <w:rsid w:val="0B884C29"/>
    <w:rsid w:val="0BAA3FB3"/>
    <w:rsid w:val="0C4931CB"/>
    <w:rsid w:val="0C63709D"/>
    <w:rsid w:val="0C7E7050"/>
    <w:rsid w:val="0CAA183F"/>
    <w:rsid w:val="0D4E4FD8"/>
    <w:rsid w:val="0D613984"/>
    <w:rsid w:val="0F2E5D6E"/>
    <w:rsid w:val="1014745E"/>
    <w:rsid w:val="101A2D6C"/>
    <w:rsid w:val="107B0DCA"/>
    <w:rsid w:val="10F115D3"/>
    <w:rsid w:val="113E1613"/>
    <w:rsid w:val="11CE2E29"/>
    <w:rsid w:val="122A19FA"/>
    <w:rsid w:val="12301B77"/>
    <w:rsid w:val="124968F3"/>
    <w:rsid w:val="124C4E7E"/>
    <w:rsid w:val="129E5C15"/>
    <w:rsid w:val="12C41B11"/>
    <w:rsid w:val="12CB10D9"/>
    <w:rsid w:val="137A4D78"/>
    <w:rsid w:val="144A5FE8"/>
    <w:rsid w:val="14AC1DBF"/>
    <w:rsid w:val="14E411BF"/>
    <w:rsid w:val="151B2F0B"/>
    <w:rsid w:val="16104199"/>
    <w:rsid w:val="16364E21"/>
    <w:rsid w:val="164E24B9"/>
    <w:rsid w:val="16CF6C19"/>
    <w:rsid w:val="171C0130"/>
    <w:rsid w:val="173A66A9"/>
    <w:rsid w:val="180F5A0C"/>
    <w:rsid w:val="18107F34"/>
    <w:rsid w:val="1925056D"/>
    <w:rsid w:val="1967651B"/>
    <w:rsid w:val="198A5EB3"/>
    <w:rsid w:val="19D90467"/>
    <w:rsid w:val="1C265002"/>
    <w:rsid w:val="1C705992"/>
    <w:rsid w:val="1CB20E32"/>
    <w:rsid w:val="1CB75A41"/>
    <w:rsid w:val="1CD5659F"/>
    <w:rsid w:val="1D792624"/>
    <w:rsid w:val="1DC12FFE"/>
    <w:rsid w:val="1E291D04"/>
    <w:rsid w:val="1EA02AF1"/>
    <w:rsid w:val="1EC027DA"/>
    <w:rsid w:val="1EF9349F"/>
    <w:rsid w:val="1F032B84"/>
    <w:rsid w:val="1F084CCE"/>
    <w:rsid w:val="1FED0677"/>
    <w:rsid w:val="203D583D"/>
    <w:rsid w:val="21B82A48"/>
    <w:rsid w:val="22142F64"/>
    <w:rsid w:val="22951B00"/>
    <w:rsid w:val="22B81E40"/>
    <w:rsid w:val="23222B13"/>
    <w:rsid w:val="233B0583"/>
    <w:rsid w:val="23B14E20"/>
    <w:rsid w:val="24EB6739"/>
    <w:rsid w:val="25216A19"/>
    <w:rsid w:val="25C56E76"/>
    <w:rsid w:val="27423EFC"/>
    <w:rsid w:val="27504F0B"/>
    <w:rsid w:val="27577200"/>
    <w:rsid w:val="27B9595A"/>
    <w:rsid w:val="27DE3B18"/>
    <w:rsid w:val="28C763F1"/>
    <w:rsid w:val="298A3E0B"/>
    <w:rsid w:val="2A093747"/>
    <w:rsid w:val="2A3D2017"/>
    <w:rsid w:val="2A716A54"/>
    <w:rsid w:val="2B2B65FC"/>
    <w:rsid w:val="2C072AC1"/>
    <w:rsid w:val="2C9C47F7"/>
    <w:rsid w:val="2D4A2B85"/>
    <w:rsid w:val="2ED44965"/>
    <w:rsid w:val="2F621D2A"/>
    <w:rsid w:val="301D177E"/>
    <w:rsid w:val="30F506CC"/>
    <w:rsid w:val="312B7C81"/>
    <w:rsid w:val="31500040"/>
    <w:rsid w:val="31E92407"/>
    <w:rsid w:val="32AC3614"/>
    <w:rsid w:val="33AE06F6"/>
    <w:rsid w:val="341F1343"/>
    <w:rsid w:val="34F75E7E"/>
    <w:rsid w:val="356F4949"/>
    <w:rsid w:val="35931126"/>
    <w:rsid w:val="35FF348B"/>
    <w:rsid w:val="38367F57"/>
    <w:rsid w:val="388E5452"/>
    <w:rsid w:val="38FF5FAB"/>
    <w:rsid w:val="396C63BC"/>
    <w:rsid w:val="39B43CF6"/>
    <w:rsid w:val="39F93857"/>
    <w:rsid w:val="3A0C461D"/>
    <w:rsid w:val="3AE21621"/>
    <w:rsid w:val="3AE43397"/>
    <w:rsid w:val="3C830EA8"/>
    <w:rsid w:val="3D22018A"/>
    <w:rsid w:val="3D7D3E88"/>
    <w:rsid w:val="3DB633CE"/>
    <w:rsid w:val="3E7176FC"/>
    <w:rsid w:val="3F32042D"/>
    <w:rsid w:val="3FB15916"/>
    <w:rsid w:val="3FD5082A"/>
    <w:rsid w:val="3FE07E89"/>
    <w:rsid w:val="40422A57"/>
    <w:rsid w:val="40973603"/>
    <w:rsid w:val="414F6486"/>
    <w:rsid w:val="41986C6D"/>
    <w:rsid w:val="41AA66D8"/>
    <w:rsid w:val="41B60296"/>
    <w:rsid w:val="41B86147"/>
    <w:rsid w:val="421E778C"/>
    <w:rsid w:val="43580BA7"/>
    <w:rsid w:val="43FC27B1"/>
    <w:rsid w:val="44BA2406"/>
    <w:rsid w:val="44E25482"/>
    <w:rsid w:val="451505D5"/>
    <w:rsid w:val="454D1401"/>
    <w:rsid w:val="45565369"/>
    <w:rsid w:val="45A10377"/>
    <w:rsid w:val="45D51F69"/>
    <w:rsid w:val="45FB65F8"/>
    <w:rsid w:val="46317146"/>
    <w:rsid w:val="467D66B6"/>
    <w:rsid w:val="47A73153"/>
    <w:rsid w:val="48B66EA6"/>
    <w:rsid w:val="4904108C"/>
    <w:rsid w:val="4A3814B2"/>
    <w:rsid w:val="4BDF11C9"/>
    <w:rsid w:val="4BE45515"/>
    <w:rsid w:val="4C347BB3"/>
    <w:rsid w:val="4CD80741"/>
    <w:rsid w:val="4D7E2B4D"/>
    <w:rsid w:val="4DBB6C23"/>
    <w:rsid w:val="4E4F1E83"/>
    <w:rsid w:val="4E9E5C8C"/>
    <w:rsid w:val="4FA15887"/>
    <w:rsid w:val="4FD54DB8"/>
    <w:rsid w:val="51241202"/>
    <w:rsid w:val="514F65E5"/>
    <w:rsid w:val="516B1723"/>
    <w:rsid w:val="520A7BDA"/>
    <w:rsid w:val="521E6160"/>
    <w:rsid w:val="55220A1A"/>
    <w:rsid w:val="55C7139A"/>
    <w:rsid w:val="55D80125"/>
    <w:rsid w:val="55F0620F"/>
    <w:rsid w:val="55FA55EC"/>
    <w:rsid w:val="561E1C9A"/>
    <w:rsid w:val="573D6386"/>
    <w:rsid w:val="57655F06"/>
    <w:rsid w:val="578E58B3"/>
    <w:rsid w:val="57E22834"/>
    <w:rsid w:val="595666BF"/>
    <w:rsid w:val="5A7176EC"/>
    <w:rsid w:val="5AF509A9"/>
    <w:rsid w:val="5B097F1D"/>
    <w:rsid w:val="5B122214"/>
    <w:rsid w:val="5B287FC9"/>
    <w:rsid w:val="5B3F7D02"/>
    <w:rsid w:val="5B4922CB"/>
    <w:rsid w:val="5CBE3B67"/>
    <w:rsid w:val="5D8326B8"/>
    <w:rsid w:val="5DA83745"/>
    <w:rsid w:val="5EC2493D"/>
    <w:rsid w:val="5F6869DB"/>
    <w:rsid w:val="60A3710C"/>
    <w:rsid w:val="60D42D7C"/>
    <w:rsid w:val="61163820"/>
    <w:rsid w:val="615D7802"/>
    <w:rsid w:val="628550D3"/>
    <w:rsid w:val="62AF6CA3"/>
    <w:rsid w:val="62BA1CB8"/>
    <w:rsid w:val="631E6E24"/>
    <w:rsid w:val="6327255C"/>
    <w:rsid w:val="638F3599"/>
    <w:rsid w:val="63D92EF4"/>
    <w:rsid w:val="64203E64"/>
    <w:rsid w:val="64610655"/>
    <w:rsid w:val="64850E7B"/>
    <w:rsid w:val="64C37FEA"/>
    <w:rsid w:val="65B243E4"/>
    <w:rsid w:val="664D2C9E"/>
    <w:rsid w:val="66A65376"/>
    <w:rsid w:val="671C6F17"/>
    <w:rsid w:val="67952EF0"/>
    <w:rsid w:val="68505D96"/>
    <w:rsid w:val="685F01D3"/>
    <w:rsid w:val="68655BBE"/>
    <w:rsid w:val="68BB30BE"/>
    <w:rsid w:val="68FA66FE"/>
    <w:rsid w:val="69901FB8"/>
    <w:rsid w:val="69933DFC"/>
    <w:rsid w:val="6A21732B"/>
    <w:rsid w:val="6A417D6D"/>
    <w:rsid w:val="6A5031C4"/>
    <w:rsid w:val="6AAE27CB"/>
    <w:rsid w:val="6B56029C"/>
    <w:rsid w:val="6B757C26"/>
    <w:rsid w:val="6C5B7889"/>
    <w:rsid w:val="6C871412"/>
    <w:rsid w:val="6CDD6379"/>
    <w:rsid w:val="6D981E25"/>
    <w:rsid w:val="6E5A758E"/>
    <w:rsid w:val="6EB57D13"/>
    <w:rsid w:val="6EE369DD"/>
    <w:rsid w:val="6EFE107E"/>
    <w:rsid w:val="6F3E347E"/>
    <w:rsid w:val="6F854425"/>
    <w:rsid w:val="6FEC41FC"/>
    <w:rsid w:val="71AF4E04"/>
    <w:rsid w:val="71E22C6D"/>
    <w:rsid w:val="720D1447"/>
    <w:rsid w:val="7256348B"/>
    <w:rsid w:val="728012D5"/>
    <w:rsid w:val="72ED1E08"/>
    <w:rsid w:val="73095405"/>
    <w:rsid w:val="735205C6"/>
    <w:rsid w:val="73B04428"/>
    <w:rsid w:val="73BC2C40"/>
    <w:rsid w:val="75094C15"/>
    <w:rsid w:val="758845AE"/>
    <w:rsid w:val="7597735E"/>
    <w:rsid w:val="75FA46C8"/>
    <w:rsid w:val="76452A3D"/>
    <w:rsid w:val="76875E4C"/>
    <w:rsid w:val="77494D9A"/>
    <w:rsid w:val="77DA3C37"/>
    <w:rsid w:val="77F10860"/>
    <w:rsid w:val="785250C1"/>
    <w:rsid w:val="78D43D28"/>
    <w:rsid w:val="79BC479C"/>
    <w:rsid w:val="7A3B464B"/>
    <w:rsid w:val="7B8E4662"/>
    <w:rsid w:val="7C482F30"/>
    <w:rsid w:val="7D6878AA"/>
    <w:rsid w:val="7DE84FBF"/>
    <w:rsid w:val="7E9D5E8B"/>
    <w:rsid w:val="7EA65D1B"/>
    <w:rsid w:val="7F1D5365"/>
    <w:rsid w:val="7F5146DD"/>
    <w:rsid w:val="7F9D662C"/>
    <w:rsid w:val="7FB1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spacing w:before="120" w:after="120"/>
      <w:ind w:left="0" w:firstLine="0"/>
      <w:outlineLvl w:val="1"/>
    </w:pPr>
    <w:rPr>
      <w:rFonts w:ascii="Times New Roman" w:hAnsi="Times New Roman" w:cs="Times New Roman"/>
      <w:b/>
      <w:bCs/>
      <w:sz w:val="32"/>
      <w:szCs w:val="32"/>
    </w:rPr>
  </w:style>
  <w:style w:type="paragraph" w:styleId="4">
    <w:name w:val="heading 3"/>
    <w:basedOn w:val="1"/>
    <w:next w:val="5"/>
    <w:qFormat/>
    <w:uiPriority w:val="0"/>
    <w:pPr>
      <w:keepNext/>
      <w:keepLines/>
      <w:numPr>
        <w:ilvl w:val="2"/>
        <w:numId w:val="2"/>
      </w:numPr>
      <w:tabs>
        <w:tab w:val="left" w:pos="420"/>
      </w:tabs>
      <w:spacing w:line="413" w:lineRule="auto"/>
      <w:outlineLvl w:val="2"/>
    </w:pPr>
    <w:rPr>
      <w:rFonts w:ascii="Times New Roman" w:hAnsi="Times New Roman" w:eastAsia="楷体"/>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51"/>
      <w:ind w:left="141"/>
    </w:pPr>
    <w:rPr>
      <w:rFonts w:ascii="宋体" w:hAnsi="Times New Roman" w:eastAsia="宋体" w:cs="宋体"/>
    </w:rPr>
  </w:style>
  <w:style w:type="paragraph" w:styleId="5">
    <w:name w:val="Normal Indent"/>
    <w:basedOn w:val="1"/>
    <w:next w:val="1"/>
    <w:qFormat/>
    <w:uiPriority w:val="99"/>
    <w:pPr>
      <w:ind w:firstLine="420"/>
    </w:pPr>
    <w:rPr>
      <w:rFonts w:ascii="Times New Roman" w:hAnsi="Times New Roman" w:cs="Times New Roman"/>
    </w:rPr>
  </w:style>
  <w:style w:type="paragraph" w:styleId="6">
    <w:name w:val="annotation text"/>
    <w:basedOn w:val="1"/>
    <w:qFormat/>
    <w:uiPriority w:val="0"/>
    <w:pPr>
      <w:jc w:val="left"/>
    </w:pPr>
  </w:style>
  <w:style w:type="paragraph" w:styleId="7">
    <w:name w:val="Body Text Indent"/>
    <w:basedOn w:val="1"/>
    <w:next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next w:val="1"/>
    <w:qFormat/>
    <w:uiPriority w:val="0"/>
    <w:pPr>
      <w:spacing w:beforeAutospacing="1" w:afterAutospacing="1"/>
      <w:jc w:val="left"/>
    </w:pPr>
    <w:rPr>
      <w:rFonts w:cs="Times New Roman"/>
      <w:kern w:val="0"/>
      <w:sz w:val="24"/>
    </w:rPr>
  </w:style>
  <w:style w:type="paragraph" w:styleId="11">
    <w:name w:val="Title"/>
    <w:basedOn w:val="1"/>
    <w:next w:val="1"/>
    <w:qFormat/>
    <w:uiPriority w:val="99"/>
    <w:pPr>
      <w:jc w:val="center"/>
      <w:outlineLvl w:val="0"/>
    </w:pPr>
    <w:rPr>
      <w:rFonts w:ascii="Arial" w:hAnsi="Arial" w:cs="Arial"/>
      <w:b/>
      <w:bCs/>
      <w:sz w:val="32"/>
      <w:szCs w:val="32"/>
    </w:rPr>
  </w:style>
  <w:style w:type="paragraph" w:styleId="12">
    <w:name w:val="Body Text First Indent 2"/>
    <w:basedOn w:val="7"/>
    <w:next w:val="1"/>
    <w:unhideWhenUsed/>
    <w:qFormat/>
    <w:uiPriority w:val="99"/>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qFormat/>
    <w:uiPriority w:val="0"/>
    <w:rPr>
      <w:color w:val="0E90D2"/>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Typewriter"/>
    <w:basedOn w:val="15"/>
    <w:qFormat/>
    <w:uiPriority w:val="0"/>
    <w:rPr>
      <w:rFonts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E90D2"/>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character" w:customStyle="1" w:styleId="28">
    <w:name w:val="selected"/>
    <w:basedOn w:val="15"/>
    <w:qFormat/>
    <w:uiPriority w:val="0"/>
    <w:rPr>
      <w:color w:val="FFFFFF"/>
    </w:rPr>
  </w:style>
  <w:style w:type="character" w:customStyle="1" w:styleId="29">
    <w:name w:val="s16_success"/>
    <w:basedOn w:val="15"/>
    <w:qFormat/>
    <w:uiPriority w:val="0"/>
    <w:rPr>
      <w:color w:val="BADA55"/>
    </w:rPr>
  </w:style>
  <w:style w:type="character" w:customStyle="1" w:styleId="30">
    <w:name w:val="s16_error"/>
    <w:basedOn w:val="15"/>
    <w:qFormat/>
    <w:uiPriority w:val="0"/>
    <w:rPr>
      <w:color w:val="8B0000"/>
    </w:rPr>
  </w:style>
  <w:style w:type="character" w:customStyle="1" w:styleId="31">
    <w:name w:val="font21"/>
    <w:basedOn w:val="15"/>
    <w:qFormat/>
    <w:uiPriority w:val="0"/>
    <w:rPr>
      <w:rFonts w:hint="eastAsia" w:ascii="宋体" w:hAnsi="宋体" w:eastAsia="宋体" w:cs="宋体"/>
      <w:b/>
      <w:color w:val="000000"/>
      <w:sz w:val="20"/>
      <w:szCs w:val="20"/>
      <w:u w:val="none"/>
    </w:rPr>
  </w:style>
  <w:style w:type="character" w:customStyle="1" w:styleId="32">
    <w:name w:val="font12"/>
    <w:basedOn w:val="15"/>
    <w:qFormat/>
    <w:uiPriority w:val="0"/>
    <w:rPr>
      <w:rFonts w:hint="eastAsia" w:ascii="宋体" w:hAnsi="宋体" w:eastAsia="宋体" w:cs="宋体"/>
      <w:color w:val="000000"/>
      <w:sz w:val="18"/>
      <w:szCs w:val="18"/>
      <w:u w:val="none"/>
    </w:rPr>
  </w:style>
  <w:style w:type="character" w:customStyle="1" w:styleId="33">
    <w:name w:val="font71"/>
    <w:basedOn w:val="15"/>
    <w:qFormat/>
    <w:uiPriority w:val="0"/>
    <w:rPr>
      <w:rFonts w:hint="eastAsia" w:ascii="宋体" w:hAnsi="宋体" w:eastAsia="宋体" w:cs="宋体"/>
      <w:color w:val="000000"/>
      <w:sz w:val="20"/>
      <w:szCs w:val="20"/>
      <w:u w:val="none"/>
    </w:rPr>
  </w:style>
  <w:style w:type="character" w:customStyle="1" w:styleId="34">
    <w:name w:val="font112"/>
    <w:basedOn w:val="15"/>
    <w:qFormat/>
    <w:uiPriority w:val="0"/>
    <w:rPr>
      <w:rFonts w:hint="eastAsia" w:ascii="宋体" w:hAnsi="宋体" w:eastAsia="宋体" w:cs="宋体"/>
      <w:b/>
      <w:color w:val="000000"/>
      <w:sz w:val="20"/>
      <w:szCs w:val="20"/>
      <w:u w:val="none"/>
    </w:rPr>
  </w:style>
  <w:style w:type="character" w:customStyle="1" w:styleId="35">
    <w:name w:val="font101"/>
    <w:basedOn w:val="15"/>
    <w:qFormat/>
    <w:uiPriority w:val="0"/>
    <w:rPr>
      <w:rFonts w:hint="eastAsia" w:ascii="宋体" w:hAnsi="宋体" w:eastAsia="宋体" w:cs="宋体"/>
      <w:color w:val="000000"/>
      <w:sz w:val="20"/>
      <w:szCs w:val="20"/>
      <w:u w:val="none"/>
    </w:rPr>
  </w:style>
  <w:style w:type="character" w:customStyle="1" w:styleId="36">
    <w:name w:val="font81"/>
    <w:basedOn w:val="15"/>
    <w:qFormat/>
    <w:uiPriority w:val="0"/>
    <w:rPr>
      <w:rFonts w:hint="eastAsia" w:ascii="宋体" w:hAnsi="宋体" w:eastAsia="宋体" w:cs="宋体"/>
      <w:b/>
      <w:color w:val="000000"/>
      <w:sz w:val="18"/>
      <w:szCs w:val="18"/>
      <w:u w:val="none"/>
    </w:rPr>
  </w:style>
  <w:style w:type="character" w:customStyle="1" w:styleId="37">
    <w:name w:val="font31"/>
    <w:basedOn w:val="15"/>
    <w:qFormat/>
    <w:uiPriority w:val="0"/>
    <w:rPr>
      <w:rFonts w:hint="eastAsia" w:ascii="宋体" w:hAnsi="宋体" w:eastAsia="宋体" w:cs="宋体"/>
      <w:color w:val="000000"/>
      <w:sz w:val="18"/>
      <w:szCs w:val="18"/>
      <w:u w:val="none"/>
    </w:rPr>
  </w:style>
  <w:style w:type="character" w:customStyle="1" w:styleId="38">
    <w:name w:val="font41"/>
    <w:basedOn w:val="15"/>
    <w:qFormat/>
    <w:uiPriority w:val="0"/>
    <w:rPr>
      <w:rFonts w:hint="eastAsia" w:ascii="宋体" w:hAnsi="宋体" w:eastAsia="宋体" w:cs="宋体"/>
      <w:b/>
      <w:color w:val="000000"/>
      <w:sz w:val="20"/>
      <w:szCs w:val="20"/>
      <w:u w:val="none"/>
    </w:rPr>
  </w:style>
  <w:style w:type="character" w:customStyle="1" w:styleId="39">
    <w:name w:val="font11"/>
    <w:basedOn w:val="15"/>
    <w:qFormat/>
    <w:uiPriority w:val="0"/>
    <w:rPr>
      <w:rFonts w:hint="eastAsia" w:ascii="宋体" w:hAnsi="宋体" w:eastAsia="宋体" w:cs="宋体"/>
      <w:color w:val="000000"/>
      <w:sz w:val="18"/>
      <w:szCs w:val="18"/>
      <w:u w:val="none"/>
    </w:rPr>
  </w:style>
  <w:style w:type="character" w:customStyle="1" w:styleId="40">
    <w:name w:val="font01"/>
    <w:basedOn w:val="15"/>
    <w:qFormat/>
    <w:uiPriority w:val="0"/>
    <w:rPr>
      <w:rFonts w:hint="eastAsia" w:ascii="宋体" w:hAnsi="宋体" w:eastAsia="宋体" w:cs="宋体"/>
      <w:color w:val="000000"/>
      <w:sz w:val="20"/>
      <w:szCs w:val="20"/>
      <w:u w:val="none"/>
    </w:rPr>
  </w:style>
  <w:style w:type="character" w:customStyle="1" w:styleId="41">
    <w:name w:val="font51"/>
    <w:basedOn w:val="15"/>
    <w:qFormat/>
    <w:uiPriority w:val="0"/>
    <w:rPr>
      <w:rFonts w:hint="eastAsia" w:ascii="宋体" w:hAnsi="宋体" w:eastAsia="宋体" w:cs="宋体"/>
      <w:color w:val="000000"/>
      <w:sz w:val="22"/>
      <w:szCs w:val="22"/>
      <w:u w:val="none"/>
    </w:rPr>
  </w:style>
  <w:style w:type="paragraph" w:styleId="42">
    <w:name w:val="List Paragraph"/>
    <w:basedOn w:val="1"/>
    <w:qFormat/>
    <w:uiPriority w:val="34"/>
    <w:pPr>
      <w:ind w:firstLine="420" w:firstLineChars="200"/>
    </w:pPr>
  </w:style>
  <w:style w:type="paragraph" w:customStyle="1" w:styleId="43">
    <w:name w:val="表格内文字"/>
    <w:basedOn w:val="44"/>
    <w:next w:val="1"/>
    <w:qFormat/>
    <w:uiPriority w:val="0"/>
    <w:pPr>
      <w:adjustRightInd w:val="0"/>
    </w:pPr>
    <w:rPr>
      <w:rFonts w:eastAsia="宋体"/>
      <w:kern w:val="2"/>
      <w:szCs w:val="22"/>
      <w:lang w:eastAsia="zh-CN"/>
    </w:rPr>
  </w:style>
  <w:style w:type="paragraph" w:customStyle="1" w:styleId="44">
    <w:name w:val="WW-表格1"/>
    <w:basedOn w:val="1"/>
    <w:qFormat/>
    <w:uiPriority w:val="0"/>
    <w:pPr>
      <w:suppressAutoHyphens/>
      <w:snapToGrid w:val="0"/>
      <w:spacing w:before="20" w:after="20"/>
      <w:jc w:val="center"/>
    </w:pPr>
    <w:rPr>
      <w:rFonts w:ascii="Times New Roman" w:hAnsi="Times New Roman" w:cs="Times New Roman"/>
      <w:kern w:val="1"/>
      <w:szCs w:val="20"/>
      <w:lang w:eastAsia="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3362</Words>
  <Characters>3486</Characters>
  <Lines>15</Lines>
  <Paragraphs>4</Paragraphs>
  <TotalTime>3</TotalTime>
  <ScaleCrop>false</ScaleCrop>
  <LinksUpToDate>false</LinksUpToDate>
  <CharactersWithSpaces>3733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2021-02-03T07:03:00Z</dcterms:created>
  <dc:creator>ASUS</dc:creator>
  <cp:lastModifiedBy>花开向阳</cp:lastModifiedBy>
  <cp:lastPrinted>2025-11-19T01:09:30Z</cp:lastPrinted>
  <dcterms:modified xsi:type="dcterms:W3CDTF">2025-11-19T01:24:39Z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15B806032C5B4429940B2E5AF91B11B6_13</vt:lpwstr>
  </property>
  <property fmtid="{D5CDD505-2E9C-101B-9397-08002B2CF9AE}" pid="4" name="KSOTemplateDocerSaveRecord">
    <vt:lpwstr>eyJoZGlkIjoiMGY5NTIxZDYzODA0Yjk3YjlmNDUxYmExMGUzYzc4Y2UiLCJ1c2VySWQiOiI0NTMzOTQ2NDYifQ==</vt:lpwstr>
  </property>
</Properties>
</file>