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0" w:type="auto"/>
        <w:tblInd w:w="0" w:type="dxa"/>
        <w:tblLayout w:type="fixed"/>
        <w:tblCellMar>
          <w:top w:w="0" w:type="dxa"/>
          <w:left w:w="0" w:type="dxa"/>
          <w:bottom w:w="0" w:type="dxa"/>
          <w:right w:w="0" w:type="dxa"/>
        </w:tblCellMar>
      </w:tblPr>
      <w:tblGrid>
        <w:gridCol w:w="240"/>
        <w:gridCol w:w="6789"/>
        <w:gridCol w:w="1575"/>
        <w:gridCol w:w="240"/>
      </w:tblGrid>
      <w:tr w14:paraId="5576640E">
        <w:tblPrEx>
          <w:tblCellMar>
            <w:top w:w="0" w:type="dxa"/>
            <w:left w:w="0" w:type="dxa"/>
            <w:bottom w:w="0" w:type="dxa"/>
            <w:right w:w="0" w:type="dxa"/>
          </w:tblCellMar>
        </w:tblPrEx>
        <w:trPr>
          <w:cantSplit/>
          <w:trHeight w:val="459" w:hRule="exact"/>
        </w:trPr>
        <w:tc>
          <w:tcPr>
            <w:tcW w:w="8844" w:type="dxa"/>
            <w:gridSpan w:val="4"/>
            <w:noWrap w:val="0"/>
            <w:vAlign w:val="top"/>
          </w:tcPr>
          <w:p w14:paraId="0482FAD1">
            <w:pPr>
              <w:keepNext w:val="0"/>
              <w:keepLines w:val="0"/>
              <w:pageBreakBefore w:val="0"/>
              <w:widowControl w:val="0"/>
              <w:kinsoku/>
              <w:wordWrap/>
              <w:overflowPunct w:val="0"/>
              <w:topLinePunct/>
              <w:autoSpaceDE/>
              <w:autoSpaceDN/>
              <w:bidi w:val="0"/>
              <w:spacing w:line="240" w:lineRule="auto"/>
              <w:textAlignment w:val="auto"/>
              <w:rPr>
                <w:rFonts w:hint="eastAsia" w:ascii="GWZT-EN" w:hAnsi="黑体" w:eastAsia="黑体" w:cs="黑体"/>
                <w:b w:val="0"/>
                <w:bCs w:val="0"/>
                <w:szCs w:val="32"/>
              </w:rPr>
            </w:pPr>
          </w:p>
        </w:tc>
      </w:tr>
      <w:tr w14:paraId="3E3587D8">
        <w:tblPrEx>
          <w:tblCellMar>
            <w:top w:w="0" w:type="dxa"/>
            <w:left w:w="0" w:type="dxa"/>
            <w:bottom w:w="0" w:type="dxa"/>
            <w:right w:w="0" w:type="dxa"/>
          </w:tblCellMar>
        </w:tblPrEx>
        <w:trPr>
          <w:cantSplit/>
        </w:trPr>
        <w:tc>
          <w:tcPr>
            <w:tcW w:w="240" w:type="dxa"/>
            <w:noWrap w:val="0"/>
            <w:vAlign w:val="top"/>
          </w:tcPr>
          <w:p w14:paraId="1B169499">
            <w:pPr>
              <w:keepNext w:val="0"/>
              <w:keepLines w:val="0"/>
              <w:pageBreakBefore w:val="0"/>
              <w:widowControl w:val="0"/>
              <w:kinsoku/>
              <w:wordWrap/>
              <w:overflowPunct w:val="0"/>
              <w:topLinePunct/>
              <w:autoSpaceDE/>
              <w:autoSpaceDN/>
              <w:bidi w:val="0"/>
              <w:adjustRightInd w:val="0"/>
              <w:snapToGrid w:val="0"/>
              <w:spacing w:after="283" w:afterLines="48" w:line="900" w:lineRule="exact"/>
              <w:jc w:val="center"/>
              <w:textAlignment w:val="auto"/>
              <w:rPr>
                <w:rFonts w:hint="eastAsia" w:ascii="GWZT-EN" w:hAnsi="方正小标宋_GBK" w:eastAsia="方正小标宋_GBK" w:cs="方正小标宋_GBK"/>
                <w:b w:val="0"/>
                <w:bCs w:val="0"/>
                <w:color w:val="FF0000"/>
                <w:sz w:val="106"/>
                <w:szCs w:val="106"/>
              </w:rPr>
            </w:pPr>
          </w:p>
        </w:tc>
        <w:tc>
          <w:tcPr>
            <w:tcW w:w="6789" w:type="dxa"/>
            <w:noWrap w:val="0"/>
            <w:vAlign w:val="top"/>
          </w:tcPr>
          <w:p w14:paraId="3568540B">
            <w:pPr>
              <w:spacing w:line="1200" w:lineRule="exact"/>
              <w:jc w:val="distribute"/>
              <w:rPr>
                <w:rFonts w:hint="eastAsia" w:ascii="方正小标宋简体" w:eastAsia="方正小标宋简体"/>
                <w:color w:val="FF0000"/>
                <w:w w:val="70"/>
                <w:sz w:val="84"/>
                <w:szCs w:val="84"/>
              </w:rPr>
            </w:pPr>
            <w:r>
              <w:rPr>
                <w:rFonts w:hint="eastAsia" w:ascii="方正小标宋简体" w:eastAsia="方正小标宋简体"/>
                <w:color w:val="FF0000"/>
                <w:w w:val="70"/>
                <w:sz w:val="84"/>
                <w:szCs w:val="84"/>
              </w:rPr>
              <w:t>莆田市荔城区应急管理局</w:t>
            </w:r>
          </w:p>
          <w:p w14:paraId="474502B2">
            <w:pPr>
              <w:keepNext w:val="0"/>
              <w:keepLines w:val="0"/>
              <w:pageBreakBefore w:val="0"/>
              <w:widowControl w:val="0"/>
              <w:kinsoku/>
              <w:wordWrap/>
              <w:overflowPunct w:val="0"/>
              <w:topLinePunct/>
              <w:autoSpaceDE/>
              <w:autoSpaceDN/>
              <w:bidi w:val="0"/>
              <w:adjustRightInd w:val="0"/>
              <w:snapToGrid w:val="0"/>
              <w:spacing w:after="283" w:afterLines="48" w:line="900" w:lineRule="exact"/>
              <w:jc w:val="distribute"/>
              <w:textAlignment w:val="auto"/>
              <w:rPr>
                <w:rFonts w:hint="eastAsia" w:ascii="GWZT-EN" w:hAnsi="方正小标宋_GBK" w:eastAsia="方正小标宋_GBK" w:cs="方正小标宋_GBK"/>
                <w:b w:val="0"/>
                <w:bCs w:val="0"/>
                <w:color w:val="FF0000"/>
                <w:sz w:val="54"/>
                <w:szCs w:val="54"/>
              </w:rPr>
            </w:pPr>
            <w:r>
              <w:rPr>
                <w:rFonts w:hint="eastAsia" w:ascii="方正小标宋简体" w:eastAsia="方正小标宋简体"/>
                <w:color w:val="FF0000"/>
                <w:w w:val="70"/>
                <w:sz w:val="84"/>
                <w:szCs w:val="84"/>
              </w:rPr>
              <w:t>莆田市荔城区财政局</w:t>
            </w:r>
          </w:p>
        </w:tc>
        <w:tc>
          <w:tcPr>
            <w:tcW w:w="1575" w:type="dxa"/>
            <w:noWrap w:val="0"/>
            <w:vAlign w:val="center"/>
          </w:tcPr>
          <w:p w14:paraId="11279DB4">
            <w:pPr>
              <w:keepNext w:val="0"/>
              <w:keepLines w:val="0"/>
              <w:pageBreakBefore w:val="0"/>
              <w:widowControl w:val="0"/>
              <w:kinsoku/>
              <w:wordWrap/>
              <w:overflowPunct w:val="0"/>
              <w:topLinePunct/>
              <w:autoSpaceDE/>
              <w:autoSpaceDN/>
              <w:bidi w:val="0"/>
              <w:spacing w:after="283" w:afterLines="48" w:line="900" w:lineRule="exact"/>
              <w:jc w:val="distribute"/>
              <w:textAlignment w:val="auto"/>
              <w:rPr>
                <w:rFonts w:hint="eastAsia" w:ascii="GWZT-EN" w:hAnsi="方正小标宋_GBK" w:eastAsia="方正小标宋_GBK" w:cs="方正小标宋_GBK"/>
                <w:b w:val="0"/>
                <w:bCs w:val="0"/>
                <w:color w:val="FF0000"/>
                <w:sz w:val="72"/>
                <w:szCs w:val="72"/>
              </w:rPr>
            </w:pPr>
            <w:r>
              <w:rPr>
                <w:rFonts w:hint="eastAsia" w:ascii="GWZT-EN" w:hAnsi="方正小标宋_GBK" w:eastAsia="方正小标宋_GBK" w:cs="方正小标宋_GBK"/>
                <w:b w:val="0"/>
                <w:bCs w:val="0"/>
                <w:color w:val="FF0000"/>
                <w:sz w:val="72"/>
                <w:szCs w:val="72"/>
              </w:rPr>
              <w:t>文件</w:t>
            </w:r>
          </w:p>
        </w:tc>
        <w:tc>
          <w:tcPr>
            <w:tcW w:w="240" w:type="dxa"/>
            <w:noWrap w:val="0"/>
            <w:vAlign w:val="top"/>
          </w:tcPr>
          <w:p w14:paraId="7FE679FB">
            <w:pPr>
              <w:keepNext w:val="0"/>
              <w:keepLines w:val="0"/>
              <w:pageBreakBefore w:val="0"/>
              <w:widowControl w:val="0"/>
              <w:kinsoku/>
              <w:wordWrap/>
              <w:overflowPunct w:val="0"/>
              <w:topLinePunct/>
              <w:autoSpaceDE/>
              <w:autoSpaceDN/>
              <w:bidi w:val="0"/>
              <w:adjustRightInd w:val="0"/>
              <w:snapToGrid w:val="0"/>
              <w:spacing w:after="283" w:afterLines="48" w:line="900" w:lineRule="exact"/>
              <w:jc w:val="center"/>
              <w:textAlignment w:val="auto"/>
              <w:rPr>
                <w:rFonts w:hint="eastAsia" w:ascii="GWZT-EN" w:hAnsi="方正小标宋_GBK" w:eastAsia="方正小标宋_GBK" w:cs="方正小标宋_GBK"/>
                <w:b w:val="0"/>
                <w:bCs w:val="0"/>
                <w:color w:val="FF0000"/>
                <w:sz w:val="106"/>
                <w:szCs w:val="106"/>
              </w:rPr>
            </w:pPr>
          </w:p>
        </w:tc>
      </w:tr>
      <w:tr w14:paraId="237386BE">
        <w:tblPrEx>
          <w:tblCellMar>
            <w:top w:w="0" w:type="dxa"/>
            <w:left w:w="0" w:type="dxa"/>
            <w:bottom w:w="0" w:type="dxa"/>
            <w:right w:w="0" w:type="dxa"/>
          </w:tblCellMar>
        </w:tblPrEx>
        <w:trPr>
          <w:cantSplit/>
          <w:trHeight w:val="658" w:hRule="exact"/>
        </w:trPr>
        <w:tc>
          <w:tcPr>
            <w:tcW w:w="8844" w:type="dxa"/>
            <w:gridSpan w:val="4"/>
            <w:noWrap w:val="0"/>
            <w:vAlign w:val="center"/>
          </w:tcPr>
          <w:p w14:paraId="7A7D5502">
            <w:pPr>
              <w:keepNext w:val="0"/>
              <w:keepLines w:val="0"/>
              <w:pageBreakBefore w:val="0"/>
              <w:widowControl w:val="0"/>
              <w:kinsoku/>
              <w:wordWrap/>
              <w:overflowPunct w:val="0"/>
              <w:topLinePunct/>
              <w:autoSpaceDE/>
              <w:autoSpaceDN/>
              <w:bidi w:val="0"/>
              <w:spacing w:line="240" w:lineRule="auto"/>
              <w:textAlignment w:val="auto"/>
              <w:rPr>
                <w:rFonts w:hint="eastAsia" w:ascii="GWZT-EN" w:hAnsi="仿宋" w:eastAsia="仿宋" w:cs="仿宋"/>
                <w:b w:val="0"/>
                <w:bCs w:val="0"/>
              </w:rPr>
            </w:pPr>
          </w:p>
        </w:tc>
      </w:tr>
      <w:tr w14:paraId="2A604891">
        <w:tblPrEx>
          <w:tblCellMar>
            <w:top w:w="0" w:type="dxa"/>
            <w:left w:w="0" w:type="dxa"/>
            <w:bottom w:w="0" w:type="dxa"/>
            <w:right w:w="0" w:type="dxa"/>
          </w:tblCellMar>
        </w:tblPrEx>
        <w:trPr>
          <w:cantSplit/>
        </w:trPr>
        <w:tc>
          <w:tcPr>
            <w:tcW w:w="8844" w:type="dxa"/>
            <w:gridSpan w:val="4"/>
            <w:noWrap w:val="0"/>
            <w:vAlign w:val="bottom"/>
          </w:tcPr>
          <w:p w14:paraId="66CC32D0">
            <w:pPr>
              <w:keepNext w:val="0"/>
              <w:keepLines w:val="0"/>
              <w:pageBreakBefore w:val="0"/>
              <w:widowControl w:val="0"/>
              <w:kinsoku/>
              <w:wordWrap/>
              <w:overflowPunct w:val="0"/>
              <w:topLinePunct/>
              <w:autoSpaceDE/>
              <w:autoSpaceDN/>
              <w:bidi w:val="0"/>
              <w:spacing w:line="240" w:lineRule="auto"/>
              <w:ind w:right="320" w:rightChars="100"/>
              <w:jc w:val="center"/>
              <w:textAlignment w:val="auto"/>
              <w:rPr>
                <w:rFonts w:hint="eastAsia" w:ascii="GWZT-EN" w:hAnsi="楷体" w:eastAsia="楷体" w:cs="楷体"/>
                <w:b w:val="0"/>
                <w:bCs w:val="0"/>
                <w:szCs w:val="32"/>
              </w:rPr>
            </w:pPr>
            <w:r>
              <w:rPr>
                <w:rFonts w:eastAsia="仿宋_GB2312"/>
                <w:sz w:val="32"/>
                <w:szCs w:val="32"/>
              </w:rPr>
              <w:t>荔</w:t>
            </w:r>
            <w:r>
              <w:rPr>
                <w:rFonts w:hint="eastAsia" w:eastAsia="仿宋_GB2312"/>
                <w:sz w:val="32"/>
                <w:szCs w:val="32"/>
              </w:rPr>
              <w:t>应急</w:t>
            </w:r>
            <w:r>
              <w:rPr>
                <w:rFonts w:eastAsia="仿宋_GB2312"/>
                <w:sz w:val="32"/>
                <w:szCs w:val="32"/>
              </w:rPr>
              <w:t>〔202</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lang w:val="en-US" w:eastAsia="zh-CN"/>
              </w:rPr>
              <w:t>44</w:t>
            </w:r>
            <w:r>
              <w:rPr>
                <w:rFonts w:eastAsia="仿宋_GB2312"/>
                <w:sz w:val="32"/>
                <w:szCs w:val="32"/>
              </w:rPr>
              <w:t>号</w:t>
            </w:r>
          </w:p>
        </w:tc>
      </w:tr>
      <w:tr w14:paraId="6C9F3FFC">
        <w:tblPrEx>
          <w:tblCellMar>
            <w:top w:w="0" w:type="dxa"/>
            <w:left w:w="0" w:type="dxa"/>
            <w:bottom w:w="0" w:type="dxa"/>
            <w:right w:w="0" w:type="dxa"/>
          </w:tblCellMar>
        </w:tblPrEx>
        <w:trPr>
          <w:cantSplit/>
          <w:trHeight w:val="91" w:hRule="exact"/>
        </w:trPr>
        <w:tc>
          <w:tcPr>
            <w:tcW w:w="8844" w:type="dxa"/>
            <w:gridSpan w:val="4"/>
            <w:noWrap w:val="0"/>
            <w:vAlign w:val="bottom"/>
          </w:tcPr>
          <w:p w14:paraId="42ACDF66">
            <w:pPr>
              <w:keepNext w:val="0"/>
              <w:keepLines w:val="0"/>
              <w:pageBreakBefore w:val="0"/>
              <w:widowControl w:val="0"/>
              <w:kinsoku/>
              <w:wordWrap/>
              <w:overflowPunct w:val="0"/>
              <w:topLinePunct/>
              <w:autoSpaceDE/>
              <w:autoSpaceDN/>
              <w:bidi w:val="0"/>
              <w:spacing w:line="339" w:lineRule="auto"/>
              <w:ind w:right="320" w:rightChars="100"/>
              <w:jc w:val="center"/>
              <w:textAlignment w:val="auto"/>
              <w:rPr>
                <w:rFonts w:hint="eastAsia" w:ascii="GWZT-EN" w:hAnsi="楷体" w:eastAsia="楷体" w:cs="楷体"/>
                <w:b w:val="0"/>
                <w:bCs w:val="0"/>
                <w:szCs w:val="32"/>
              </w:rPr>
            </w:pPr>
          </w:p>
        </w:tc>
      </w:tr>
      <w:tr w14:paraId="64491973">
        <w:tblPrEx>
          <w:tblCellMar>
            <w:top w:w="0" w:type="dxa"/>
            <w:left w:w="0" w:type="dxa"/>
            <w:bottom w:w="0" w:type="dxa"/>
            <w:right w:w="0" w:type="dxa"/>
          </w:tblCellMar>
        </w:tblPrEx>
        <w:trPr>
          <w:cantSplit/>
          <w:trHeight w:val="23" w:hRule="exact"/>
        </w:trPr>
        <w:tc>
          <w:tcPr>
            <w:tcW w:w="8844" w:type="dxa"/>
            <w:gridSpan w:val="4"/>
            <w:tcBorders>
              <w:bottom w:val="single" w:color="FF0000" w:sz="12" w:space="0"/>
            </w:tcBorders>
            <w:noWrap w:val="0"/>
            <w:vAlign w:val="center"/>
          </w:tcPr>
          <w:p w14:paraId="0EE2CBAA">
            <w:pPr>
              <w:keepNext w:val="0"/>
              <w:keepLines w:val="0"/>
              <w:pageBreakBefore w:val="0"/>
              <w:widowControl w:val="0"/>
              <w:kinsoku/>
              <w:wordWrap/>
              <w:overflowPunct w:val="0"/>
              <w:topLinePunct/>
              <w:autoSpaceDE/>
              <w:autoSpaceDN/>
              <w:bidi w:val="0"/>
              <w:spacing w:line="240" w:lineRule="auto"/>
              <w:jc w:val="center"/>
              <w:textAlignment w:val="auto"/>
              <w:rPr>
                <w:rFonts w:hint="eastAsia" w:ascii="GWZT-EN" w:hAnsi="仿宋"/>
                <w:b w:val="0"/>
                <w:bCs w:val="0"/>
                <w:sz w:val="21"/>
              </w:rPr>
            </w:pPr>
          </w:p>
        </w:tc>
      </w:tr>
    </w:tbl>
    <w:p w14:paraId="7FDAC3F2">
      <w:pPr>
        <w:pStyle w:val="12"/>
        <w:bidi w:val="0"/>
        <w:spacing w:beforeAutospacing="0" w:afterAutospacing="0" w:line="460" w:lineRule="exact"/>
      </w:pPr>
    </w:p>
    <w:p w14:paraId="52C149A2">
      <w:pPr>
        <w:pStyle w:val="12"/>
        <w:bidi w:val="0"/>
        <w:spacing w:beforeAutospacing="0" w:afterAutospacing="0" w:line="460" w:lineRule="exact"/>
      </w:pPr>
    </w:p>
    <w:p w14:paraId="37336D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小标宋简体"/>
          <w:w w:val="96"/>
          <w:sz w:val="44"/>
          <w:szCs w:val="44"/>
        </w:rPr>
      </w:pPr>
    </w:p>
    <w:p w14:paraId="37153AAA">
      <w:pPr>
        <w:keepNext w:val="0"/>
        <w:keepLines w:val="0"/>
        <w:pageBreakBefore w:val="0"/>
        <w:widowControl w:val="0"/>
        <w:tabs>
          <w:tab w:val="left" w:pos="320"/>
        </w:tabs>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Cs/>
          <w:w w:val="99"/>
          <w:sz w:val="44"/>
          <w:szCs w:val="44"/>
          <w:shd w:val="clear" w:color="auto" w:fill="FFFFFF"/>
          <w:lang w:val="en-US" w:eastAsia="zh-CN"/>
        </w:rPr>
      </w:pPr>
      <w:r>
        <w:rPr>
          <w:rFonts w:hint="eastAsia" w:ascii="方正小标宋简体" w:hAnsi="方正小标宋简体" w:eastAsia="方正小标宋简体" w:cs="方正小标宋简体"/>
          <w:bCs/>
          <w:w w:val="99"/>
          <w:sz w:val="44"/>
          <w:szCs w:val="44"/>
          <w:shd w:val="clear" w:color="auto" w:fill="FFFFFF"/>
          <w:lang w:val="en-US" w:eastAsia="zh-CN"/>
        </w:rPr>
        <w:t>莆田市荔城区应急管理局 莆田市荔城区财政局</w:t>
      </w:r>
    </w:p>
    <w:p w14:paraId="3C6095E9">
      <w:pPr>
        <w:keepNext w:val="0"/>
        <w:keepLines w:val="0"/>
        <w:pageBreakBefore w:val="0"/>
        <w:widowControl w:val="0"/>
        <w:tabs>
          <w:tab w:val="left" w:pos="32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shd w:val="clear" w:color="auto" w:fill="FFFFFF"/>
          <w:lang w:val="en-US" w:eastAsia="zh-CN"/>
        </w:rPr>
      </w:pPr>
      <w:r>
        <w:rPr>
          <w:rFonts w:hint="eastAsia" w:ascii="方正小标宋简体" w:hAnsi="方正小标宋简体" w:eastAsia="方正小标宋简体" w:cs="方正小标宋简体"/>
          <w:bCs/>
          <w:sz w:val="44"/>
          <w:szCs w:val="44"/>
          <w:shd w:val="clear" w:color="auto" w:fill="FFFFFF"/>
          <w:lang w:val="en-US" w:eastAsia="zh-CN"/>
        </w:rPr>
        <w:t>关于印发莆田市荔城区安全生产领域</w:t>
      </w:r>
    </w:p>
    <w:p w14:paraId="6F0522A0">
      <w:pPr>
        <w:keepNext w:val="0"/>
        <w:keepLines w:val="0"/>
        <w:pageBreakBefore w:val="0"/>
        <w:widowControl w:val="0"/>
        <w:tabs>
          <w:tab w:val="left" w:pos="320"/>
        </w:tabs>
        <w:kinsoku/>
        <w:wordWrap/>
        <w:overflowPunct/>
        <w:topLinePunct w:val="0"/>
        <w:autoSpaceDE/>
        <w:autoSpaceDN/>
        <w:bidi w:val="0"/>
        <w:adjustRightInd/>
        <w:snapToGrid/>
        <w:spacing w:line="600" w:lineRule="exact"/>
        <w:jc w:val="center"/>
        <w:textAlignment w:val="auto"/>
        <w:rPr>
          <w:rFonts w:hint="default"/>
          <w:lang w:val="en-US" w:eastAsia="zh-CN"/>
        </w:rPr>
      </w:pPr>
      <w:r>
        <w:rPr>
          <w:rFonts w:hint="eastAsia" w:ascii="方正小标宋简体" w:hAnsi="方正小标宋简体" w:eastAsia="方正小标宋简体" w:cs="方正小标宋简体"/>
          <w:bCs/>
          <w:sz w:val="44"/>
          <w:szCs w:val="44"/>
          <w:shd w:val="clear" w:color="auto" w:fill="FFFFFF"/>
          <w:lang w:val="en-US" w:eastAsia="zh-CN"/>
        </w:rPr>
        <w:t>举报奖励办法的通知</w:t>
      </w:r>
    </w:p>
    <w:p w14:paraId="586702F8">
      <w:pPr>
        <w:pStyle w:val="12"/>
        <w:bidi w:val="0"/>
        <w:spacing w:beforeAutospacing="0" w:afterAutospacing="0" w:line="300" w:lineRule="exact"/>
      </w:pPr>
    </w:p>
    <w:p w14:paraId="3ABB7AE0">
      <w:pPr>
        <w:pStyle w:val="25"/>
      </w:pPr>
      <w:r>
        <w:t>各镇街、工业园，区安委会全体成员单位：</w:t>
      </w:r>
    </w:p>
    <w:p w14:paraId="332DC62B">
      <w:pPr>
        <w:pStyle w:val="12"/>
      </w:pPr>
      <w:r>
        <w:t xml:space="preserve">为认真贯彻落实国家安全监管总局《国家安全监管总局财政部关于印发＜安全生产领域举报奖励办法＞的通知》（安监总财〔2018〕19号）精神，进一步加强和提升我区安全生产监管工作，坚决防范和遏制较大及以上生产安全事故发生。依据《中华人民共和国安全生产法》和《应急管理部关于进一步加强安全生产举报工作的指导意见》等相关法律法规和相关要求，结合我区实际，制定《莆田市荔城区安全生产领域举报奖励办法》。现印发给你们，请认真贯彻落实。    </w:t>
      </w:r>
    </w:p>
    <w:p w14:paraId="65122657">
      <w:pPr>
        <w:pStyle w:val="12"/>
        <w:bidi w:val="0"/>
      </w:pPr>
    </w:p>
    <w:p w14:paraId="4FCB7447">
      <w:pPr>
        <w:pStyle w:val="12"/>
        <w:bidi w:val="0"/>
        <w:ind w:left="0" w:leftChars="0" w:firstLine="0" w:firstLineChars="0"/>
        <w:rPr>
          <w:rFonts w:hint="eastAsia" w:eastAsia="仿宋_GB2312"/>
          <w:lang w:val="en-US" w:eastAsia="zh-CN"/>
        </w:rPr>
      </w:pPr>
      <w:r>
        <w:rPr>
          <w:rFonts w:hint="eastAsia"/>
          <w:lang w:val="en-US" w:eastAsia="zh-CN"/>
        </w:rPr>
        <w:t>(此页无正文）</w:t>
      </w:r>
    </w:p>
    <w:p w14:paraId="37415DD8">
      <w:pPr>
        <w:pStyle w:val="12"/>
        <w:bidi w:val="0"/>
      </w:pPr>
    </w:p>
    <w:p w14:paraId="4867CEA4">
      <w:pPr>
        <w:pStyle w:val="12"/>
        <w:bidi w:val="0"/>
      </w:pPr>
    </w:p>
    <w:p w14:paraId="603AF7CE">
      <w:pPr>
        <w:pStyle w:val="12"/>
        <w:bidi w:val="0"/>
      </w:pPr>
    </w:p>
    <w:p w14:paraId="4E933AF7">
      <w:pPr>
        <w:pStyle w:val="12"/>
        <w:bidi w:val="0"/>
      </w:pPr>
    </w:p>
    <w:p w14:paraId="2BD92F22">
      <w:pPr>
        <w:pStyle w:val="12"/>
        <w:bidi w:val="0"/>
      </w:pPr>
    </w:p>
    <w:p w14:paraId="5511F9AF">
      <w:pPr>
        <w:pStyle w:val="12"/>
        <w:bidi w:val="0"/>
      </w:pPr>
    </w:p>
    <w:p w14:paraId="709AB0F8">
      <w:pPr>
        <w:pStyle w:val="12"/>
        <w:bidi w:val="0"/>
      </w:pPr>
    </w:p>
    <w:p w14:paraId="4FCFC6C8">
      <w:pPr>
        <w:pStyle w:val="12"/>
        <w:bidi w:val="0"/>
      </w:pPr>
    </w:p>
    <w:p w14:paraId="022AA813">
      <w:pPr>
        <w:pStyle w:val="12"/>
        <w:bidi w:val="0"/>
      </w:pPr>
    </w:p>
    <w:p w14:paraId="23189E80">
      <w:pPr>
        <w:pStyle w:val="12"/>
        <w:bidi w:val="0"/>
      </w:pPr>
    </w:p>
    <w:p w14:paraId="3FBCB4B1">
      <w:pPr>
        <w:pStyle w:val="12"/>
        <w:bidi w:val="0"/>
      </w:pPr>
    </w:p>
    <w:p w14:paraId="7C3441ED">
      <w:pPr>
        <w:pStyle w:val="12"/>
        <w:bidi w:val="0"/>
      </w:pPr>
    </w:p>
    <w:p w14:paraId="6B1A603D">
      <w:pPr>
        <w:pStyle w:val="12"/>
        <w:bidi w:val="0"/>
      </w:pPr>
    </w:p>
    <w:p w14:paraId="58077B0D">
      <w:pPr>
        <w:pStyle w:val="12"/>
        <w:bidi w:val="0"/>
      </w:pPr>
    </w:p>
    <w:p w14:paraId="358AB6C8">
      <w:pPr>
        <w:pStyle w:val="12"/>
        <w:bidi w:val="0"/>
        <w:rPr>
          <w:rFonts w:hint="eastAsia" w:ascii="仿宋" w:hAnsi="仿宋" w:eastAsia="仿宋" w:cs="仿宋"/>
          <w:sz w:val="32"/>
          <w:szCs w:val="32"/>
        </w:rPr>
      </w:pPr>
      <w:r>
        <w:rPr>
          <w:rFonts w:hint="eastAsia" w:ascii="仿宋" w:hAnsi="仿宋" w:eastAsia="仿宋" w:cs="仿宋"/>
          <w:sz w:val="32"/>
          <w:szCs w:val="32"/>
        </w:rPr>
        <w:t xml:space="preserve">莆田市荔城区应急管理局         莆田市荔城区财政局  </w:t>
      </w:r>
    </w:p>
    <w:p w14:paraId="55635039">
      <w:pPr>
        <w:keepNext w:val="0"/>
        <w:keepLines w:val="0"/>
        <w:pageBreakBefore w:val="0"/>
        <w:widowControl w:val="0"/>
        <w:kinsoku/>
        <w:wordWrap/>
        <w:overflowPunct/>
        <w:topLinePunct w:val="0"/>
        <w:autoSpaceDE/>
        <w:autoSpaceDN/>
        <w:bidi w:val="0"/>
        <w:adjustRightInd/>
        <w:snapToGrid/>
        <w:spacing w:line="560" w:lineRule="exact"/>
        <w:ind w:right="960" w:rightChars="300" w:firstLine="0" w:firstLineChars="0"/>
        <w:jc w:val="righ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2EEF41CA">
      <w:pPr>
        <w:keepNext w:val="0"/>
        <w:keepLines w:val="0"/>
        <w:pageBreakBefore w:val="0"/>
        <w:widowControl w:val="0"/>
        <w:kinsoku/>
        <w:wordWrap/>
        <w:overflowPunct/>
        <w:topLinePunct w:val="0"/>
        <w:autoSpaceDE/>
        <w:autoSpaceDN/>
        <w:bidi w:val="0"/>
        <w:adjustRightInd/>
        <w:snapToGrid/>
        <w:spacing w:line="560" w:lineRule="exact"/>
        <w:ind w:right="960" w:rightChars="300" w:firstLine="0" w:firstLineChars="0"/>
        <w:jc w:val="right"/>
        <w:textAlignment w:val="auto"/>
        <w:rPr>
          <w:rFonts w:hint="eastAsia" w:ascii="仿宋" w:hAnsi="仿宋" w:eastAsia="仿宋" w:cs="仿宋"/>
          <w:sz w:val="32"/>
          <w:szCs w:val="32"/>
        </w:rPr>
      </w:pPr>
    </w:p>
    <w:p w14:paraId="74502609">
      <w:pPr>
        <w:keepNext w:val="0"/>
        <w:keepLines w:val="0"/>
        <w:pageBreakBefore w:val="0"/>
        <w:widowControl w:val="0"/>
        <w:tabs>
          <w:tab w:val="left" w:pos="6827"/>
        </w:tabs>
        <w:kinsoku/>
        <w:wordWrap/>
        <w:overflowPunct/>
        <w:topLinePunct w:val="0"/>
        <w:autoSpaceDE/>
        <w:autoSpaceDN/>
        <w:bidi w:val="0"/>
        <w:adjustRightInd/>
        <w:snapToGrid/>
        <w:spacing w:line="560" w:lineRule="exact"/>
        <w:ind w:right="960" w:rightChars="30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ab/>
      </w:r>
    </w:p>
    <w:p w14:paraId="752DEC23">
      <w:pPr>
        <w:pStyle w:val="12"/>
        <w:rPr>
          <w:rFonts w:hint="eastAsia" w:ascii="仿宋" w:hAnsi="仿宋" w:eastAsia="仿宋_GB2312" w:cs="仿宋"/>
          <w:sz w:val="32"/>
          <w:szCs w:val="32"/>
          <w:lang w:val="en-US" w:eastAsia="zh-CN"/>
        </w:rPr>
        <w:sectPr>
          <w:footerReference r:id="rId3" w:type="default"/>
          <w:footerReference r:id="rId4" w:type="even"/>
          <w:pgSz w:w="11906" w:h="16838"/>
          <w:pgMar w:top="1985" w:right="1474" w:bottom="1701" w:left="1474" w:header="851" w:footer="992" w:gutter="0"/>
          <w:cols w:space="720" w:num="1"/>
          <w:docGrid w:type="lines" w:linePitch="312" w:charSpace="0"/>
        </w:sectPr>
      </w:pPr>
      <w:r>
        <w:t>（此件主动公开</w:t>
      </w:r>
      <w:r>
        <w:rPr>
          <w:rFonts w:hint="eastAsia"/>
          <w:lang w:val="en-US" w:eastAsia="zh-CN"/>
        </w:rPr>
        <w:t>)</w:t>
      </w:r>
    </w:p>
    <w:p w14:paraId="5096FBF2">
      <w:pPr>
        <w:pStyle w:val="19"/>
        <w:bidi w:val="0"/>
        <w:jc w:val="center"/>
      </w:pPr>
      <w:r>
        <w:t>莆田市荔城区安全生产领域举报奖励办法</w:t>
      </w:r>
    </w:p>
    <w:p w14:paraId="2BD9801C">
      <w:pPr>
        <w:pStyle w:val="12"/>
        <w:bidi w:val="0"/>
        <w:spacing w:beforeAutospacing="0" w:afterAutospacing="0" w:line="300" w:lineRule="exact"/>
      </w:pPr>
    </w:p>
    <w:p w14:paraId="501F3B86">
      <w:pPr>
        <w:pStyle w:val="26"/>
        <w:numPr>
          <w:ilvl w:val="0"/>
          <w:numId w:val="1"/>
        </w:numPr>
        <w:topLinePunct w:val="0"/>
        <w:ind w:left="0" w:leftChars="0" w:firstLine="0" w:firstLineChars="0"/>
        <w:rPr>
          <w:b w:val="0"/>
        </w:rPr>
      </w:pPr>
      <w:r>
        <w:t>总则</w:t>
      </w:r>
    </w:p>
    <w:p w14:paraId="7D164CFE">
      <w:pPr>
        <w:pStyle w:val="12"/>
        <w:numPr>
          <w:ilvl w:val="0"/>
          <w:numId w:val="2"/>
        </w:numPr>
        <w:topLinePunct w:val="0"/>
        <w:ind w:left="0" w:leftChars="0" w:firstLine="616" w:firstLineChars="0"/>
        <w:rPr>
          <w:b/>
        </w:rPr>
      </w:pPr>
      <w:r>
        <w:t>为进一步加强安全生产工作的社会监督，鼓励举报安全生产事故隐患和安全生产非法违法行为（以下简称事故隐患和非法违法行为），及时发现并排除事故隐患，制止和惩处非法违法行为，依据《中华人民共和国安全生产法》《安全生产事故隐患排查治理暂行规定》（国家安监总局令第16号）、《安全生产非法违法行为查处办法》（安监总政法〔2011〕158号）和《安全生产领域举报奖励办法》（安监总财〔2018〕19号）等有关法律法规和部门规章文件要求，制定本办法。</w:t>
      </w:r>
    </w:p>
    <w:p w14:paraId="67BF724E">
      <w:pPr>
        <w:pStyle w:val="12"/>
        <w:numPr>
          <w:ilvl w:val="0"/>
          <w:numId w:val="2"/>
        </w:numPr>
        <w:topLinePunct w:val="0"/>
        <w:ind w:left="0" w:leftChars="0" w:firstLine="616" w:firstLineChars="0"/>
        <w:rPr>
          <w:b/>
        </w:rPr>
      </w:pPr>
      <w:r>
        <w:t>鼓励社会各界和广大群众对工矿、商贸、危险化学品、烟花爆竹等安全生产重点行业领域重大安全事故隐患和安全生</w:t>
      </w:r>
      <w:r>
        <w:rPr>
          <w:spacing w:val="0"/>
        </w:rPr>
        <w:t>产非法违法行为向应急管理部门进行举报，并依照规定予</w:t>
      </w:r>
      <w:r>
        <w:rPr>
          <w:spacing w:val="-6"/>
        </w:rPr>
        <w:t>以</w:t>
      </w:r>
      <w:r>
        <w:t>奖励。</w:t>
      </w:r>
    </w:p>
    <w:p w14:paraId="773DDB21">
      <w:pPr>
        <w:pStyle w:val="12"/>
      </w:pPr>
      <w:r>
        <w:t>其他负有安全生产监督管理职责的部门对所监管行业领域的安全生产举报奖励依照其规定。</w:t>
      </w:r>
    </w:p>
    <w:p w14:paraId="4E0FF486">
      <w:pPr>
        <w:pStyle w:val="12"/>
        <w:numPr>
          <w:ilvl w:val="0"/>
          <w:numId w:val="2"/>
        </w:numPr>
        <w:topLinePunct w:val="0"/>
        <w:ind w:left="0" w:leftChars="0" w:firstLine="616" w:firstLineChars="0"/>
        <w:rPr>
          <w:b/>
        </w:rPr>
      </w:pPr>
      <w:r>
        <w:t>任何单位、组织和个人（以下统称举报人）有权向应急管理部门和其他负有安全监管职责的部门举报相关行业或领域的重大安全事故隐患和非法违法行为。鼓励生产经营单位一线的从业人员积极举报身边的重大安全事故隐患和非法违法行为。</w:t>
      </w:r>
    </w:p>
    <w:p w14:paraId="09968233">
      <w:pPr>
        <w:pStyle w:val="12"/>
      </w:pPr>
      <w:r>
        <w:t>举报内容如属于法律法规有关信访事项管理范畴，从其规定。</w:t>
      </w:r>
    </w:p>
    <w:p w14:paraId="763AB30A">
      <w:pPr>
        <w:pStyle w:val="12"/>
        <w:numPr>
          <w:ilvl w:val="0"/>
          <w:numId w:val="2"/>
        </w:numPr>
        <w:topLinePunct w:val="0"/>
        <w:ind w:left="0" w:leftChars="0" w:firstLine="616" w:firstLineChars="0"/>
        <w:rPr>
          <w:b/>
        </w:rPr>
      </w:pPr>
      <w:r>
        <w:t>举报奖励遵循“合法举报、适当奖励、属地管理、分级负责”和“谁受理、谁奖励”的原则，由负有安全监管职责的部门开展本行业领域重大安全事故隐患和安全生产非法违法行为举报受理、办理和奖励等工作。</w:t>
      </w:r>
    </w:p>
    <w:p w14:paraId="5BB92B54">
      <w:pPr>
        <w:pStyle w:val="12"/>
        <w:numPr>
          <w:ilvl w:val="0"/>
          <w:numId w:val="2"/>
        </w:numPr>
        <w:topLinePunct w:val="0"/>
        <w:ind w:left="0" w:leftChars="0" w:firstLine="616" w:firstLineChars="0"/>
        <w:rPr>
          <w:b/>
        </w:rPr>
      </w:pPr>
      <w:r>
        <w:t>负有安全监管职责的部门应当建立健全安全生产重大事故隐患和安全生产非法违法行为举报的受理、核查、处理、协调、督办、移送、答复、统计和报告等制度，并向社会公开通信地址、邮政编码、电话和奖励办法。对于受理的举报线索，要认真核实、跟进执法、跟踪督办、严厉查处，督促相关责任主体第一时间化解风险、消除隐患，严防风险隐患转化为安全事故。</w:t>
      </w:r>
    </w:p>
    <w:p w14:paraId="138CB99E">
      <w:pPr>
        <w:pStyle w:val="2"/>
        <w:numPr>
          <w:ilvl w:val="0"/>
          <w:numId w:val="1"/>
        </w:numPr>
        <w:topLinePunct w:val="0"/>
        <w:ind w:left="0" w:leftChars="0" w:firstLine="0" w:firstLineChars="0"/>
        <w:rPr>
          <w:b w:val="0"/>
        </w:rPr>
      </w:pPr>
      <w:r>
        <w:t>举报内容</w:t>
      </w:r>
    </w:p>
    <w:p w14:paraId="6C005942">
      <w:pPr>
        <w:pStyle w:val="12"/>
        <w:numPr>
          <w:ilvl w:val="0"/>
          <w:numId w:val="3"/>
        </w:numPr>
        <w:topLinePunct w:val="0"/>
        <w:ind w:left="0" w:leftChars="0" w:firstLine="616" w:firstLineChars="0"/>
        <w:rPr>
          <w:b/>
        </w:rPr>
      </w:pPr>
      <w:r>
        <w:t>本办法所称重大安全事故隐患，判定标准按照国家或行业有关规定执行，以部门出具的法律文书为依据。具体包括各行业领域、公共场所、人员密集场所等容易导致爆炸、火灾、触电、淹溺、灼烫、中毒、窒息、坍塌、压埋、高处坠落、物体打击、机械伤害、交通事故以及其他伤害的各类事故隐患和影响逃生或应急救援的障碍。</w:t>
      </w:r>
    </w:p>
    <w:p w14:paraId="15EECAB8">
      <w:pPr>
        <w:pStyle w:val="12"/>
        <w:numPr>
          <w:ilvl w:val="0"/>
          <w:numId w:val="3"/>
        </w:numPr>
        <w:topLinePunct w:val="0"/>
        <w:ind w:left="0" w:leftChars="0" w:firstLine="616" w:firstLineChars="0"/>
        <w:rPr>
          <w:b/>
        </w:rPr>
      </w:pPr>
      <w:r>
        <w:rPr>
          <w:spacing w:val="2"/>
        </w:rPr>
        <w:t>本办法所称非法违法行为，重点包括以下情形</w:t>
      </w:r>
      <w:r>
        <w:rPr>
          <w:spacing w:val="-6"/>
        </w:rPr>
        <w:t>和</w:t>
      </w:r>
      <w:r>
        <w:t>行为：</w:t>
      </w:r>
    </w:p>
    <w:p w14:paraId="3D689550">
      <w:pPr>
        <w:pStyle w:val="12"/>
        <w:numPr>
          <w:ilvl w:val="0"/>
          <w:numId w:val="4"/>
        </w:numPr>
        <w:topLinePunct w:val="0"/>
        <w:ind w:left="0" w:leftChars="0" w:firstLine="616" w:firstLineChars="0"/>
        <w:rPr>
          <w:b w:val="0"/>
        </w:rPr>
      </w:pPr>
      <w:r>
        <w:t>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14:paraId="1A6C0178">
      <w:pPr>
        <w:pStyle w:val="12"/>
        <w:numPr>
          <w:ilvl w:val="0"/>
          <w:numId w:val="4"/>
        </w:numPr>
        <w:topLinePunct w:val="0"/>
        <w:ind w:left="0" w:leftChars="0" w:firstLine="616" w:firstLineChars="0"/>
        <w:rPr>
          <w:b w:val="0"/>
        </w:rPr>
      </w:pPr>
      <w:r>
        <w:t>未依法对从业人员进行安全生产教育和培训，或者危险化学品生产、经营、储存单位，金属冶炼、建筑施工、道路交通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w:t>
      </w:r>
    </w:p>
    <w:p w14:paraId="1EE2FA52">
      <w:pPr>
        <w:pStyle w:val="12"/>
        <w:numPr>
          <w:ilvl w:val="0"/>
          <w:numId w:val="4"/>
        </w:numPr>
        <w:topLinePunct w:val="0"/>
        <w:ind w:left="0" w:leftChars="0" w:firstLine="616" w:firstLineChars="0"/>
        <w:rPr>
          <w:b w:val="0"/>
        </w:rPr>
      </w:pPr>
      <w:r>
        <w:t>将生产经营项目、场所、设备发包或者出租给不具备安全生产条件或者相应资质（资格）的单位或者个人，或者未与承包单位、承租单位签订专门的安全生产管理协议，或者未在承包合同、租赁合同中明确各自的安全生产管理职责，或者未对承包、承租单位的安全生产进行统一协调、管理的。</w:t>
      </w:r>
    </w:p>
    <w:p w14:paraId="7F71AD2E">
      <w:pPr>
        <w:pStyle w:val="12"/>
        <w:numPr>
          <w:ilvl w:val="0"/>
          <w:numId w:val="4"/>
        </w:numPr>
        <w:topLinePunct w:val="0"/>
        <w:ind w:left="0" w:leftChars="0" w:firstLine="616" w:firstLineChars="0"/>
        <w:rPr>
          <w:b w:val="0"/>
        </w:rPr>
      </w:pPr>
      <w:r>
        <w:t>未按国家有关规定对危险物品进行管理或者使用国家明令淘汰、禁止的危及生产安全的工艺、设备的。</w:t>
      </w:r>
    </w:p>
    <w:p w14:paraId="3083EB34">
      <w:pPr>
        <w:pStyle w:val="12"/>
        <w:numPr>
          <w:ilvl w:val="0"/>
          <w:numId w:val="4"/>
        </w:numPr>
        <w:topLinePunct w:val="0"/>
        <w:ind w:left="0" w:leftChars="0" w:firstLine="616" w:firstLineChars="0"/>
        <w:rPr>
          <w:b w:val="0"/>
        </w:rPr>
      </w:pPr>
      <w:r>
        <w:t>承担安全评价、认证、检测和检验工作的机构出具虚假证明文件的。</w:t>
      </w:r>
    </w:p>
    <w:p w14:paraId="3B3A6E5C">
      <w:pPr>
        <w:pStyle w:val="12"/>
        <w:numPr>
          <w:ilvl w:val="0"/>
          <w:numId w:val="4"/>
        </w:numPr>
        <w:topLinePunct w:val="0"/>
        <w:ind w:left="0" w:leftChars="0" w:firstLine="616" w:firstLineChars="0"/>
        <w:rPr>
          <w:b w:val="0"/>
        </w:rPr>
      </w:pPr>
      <w:r>
        <w:t>重大事故隐患隐瞒不报，或者不按规定期限予以整治的。</w:t>
      </w:r>
    </w:p>
    <w:p w14:paraId="0E00E1F5">
      <w:pPr>
        <w:pStyle w:val="12"/>
        <w:numPr>
          <w:ilvl w:val="0"/>
          <w:numId w:val="4"/>
        </w:numPr>
        <w:topLinePunct w:val="0"/>
        <w:ind w:left="0" w:leftChars="0" w:firstLine="616" w:firstLineChars="0"/>
        <w:rPr>
          <w:b w:val="0"/>
        </w:rPr>
      </w:pPr>
      <w:r>
        <w:t>法律、行政法规、国家标准或行业标准规定的其他安全生产非法违法行为。</w:t>
      </w:r>
    </w:p>
    <w:p w14:paraId="14FEA27D">
      <w:pPr>
        <w:pStyle w:val="26"/>
        <w:numPr>
          <w:ilvl w:val="0"/>
          <w:numId w:val="1"/>
        </w:numPr>
        <w:topLinePunct w:val="0"/>
        <w:ind w:left="0" w:leftChars="0" w:firstLine="0" w:firstLineChars="0"/>
        <w:rPr>
          <w:b w:val="0"/>
        </w:rPr>
      </w:pPr>
      <w:r>
        <w:t>举报渠道</w:t>
      </w:r>
    </w:p>
    <w:p w14:paraId="3BF1E36F">
      <w:pPr>
        <w:pStyle w:val="12"/>
        <w:numPr>
          <w:ilvl w:val="0"/>
          <w:numId w:val="5"/>
        </w:numPr>
        <w:topLinePunct w:val="0"/>
        <w:ind w:left="0" w:leftChars="0" w:firstLine="616" w:firstLineChars="0"/>
        <w:rPr>
          <w:b/>
        </w:rPr>
      </w:pPr>
      <w:r>
        <w:t>举报人可以通过应急管理部“安全生产举报系统”、“12345政务服务便民热线”等平台或以电话、书信、来访等方式进行举报。</w:t>
      </w:r>
    </w:p>
    <w:p w14:paraId="2631A4C2">
      <w:pPr>
        <w:pStyle w:val="12"/>
      </w:pPr>
      <w:r>
        <w:t>各负有安全监管职责的部门在接到和处理重大安全事故隐患和安全生产领域非法违法行为举报时，应将举报事项办理情况抄送同级安全生产委员会办公室（以下简称安办）。</w:t>
      </w:r>
    </w:p>
    <w:p w14:paraId="2C9BCCA5">
      <w:pPr>
        <w:pStyle w:val="12"/>
        <w:numPr>
          <w:ilvl w:val="0"/>
          <w:numId w:val="5"/>
        </w:numPr>
        <w:topLinePunct w:val="0"/>
        <w:ind w:left="0" w:leftChars="0" w:firstLine="616" w:firstLineChars="0"/>
        <w:rPr>
          <w:b/>
        </w:rPr>
      </w:pPr>
      <w:r>
        <w:t>举报人对非法违法行为和重大安全事故隐患，原则上实行逐级举报制度，也可以直接向上一级有关部门举报。</w:t>
      </w:r>
    </w:p>
    <w:p w14:paraId="40BD30B2">
      <w:pPr>
        <w:pStyle w:val="12"/>
        <w:numPr>
          <w:ilvl w:val="0"/>
          <w:numId w:val="5"/>
        </w:numPr>
        <w:topLinePunct w:val="0"/>
        <w:ind w:left="0" w:leftChars="0" w:firstLine="616" w:firstLineChars="0"/>
        <w:rPr>
          <w:b/>
        </w:rPr>
      </w:pPr>
      <w:r>
        <w:t>举报人应当提供真实有效的联系方式，提倡实名举报，举报内容应包括明确的被举报对象、具体的事故隐患和非法违法行为。举报人举报的事项应当客观真实，并对其举报内容的真实性负责，不得捏造、歪曲事实，不得诬告、陷害他人和企业；否则，一经查实，依法追究举报人的法律责任。</w:t>
      </w:r>
    </w:p>
    <w:p w14:paraId="49DB24D8">
      <w:pPr>
        <w:pStyle w:val="26"/>
        <w:numPr>
          <w:ilvl w:val="0"/>
          <w:numId w:val="1"/>
        </w:numPr>
        <w:topLinePunct w:val="0"/>
        <w:ind w:left="0" w:leftChars="0" w:firstLine="0" w:firstLineChars="0"/>
        <w:rPr>
          <w:b w:val="0"/>
        </w:rPr>
      </w:pPr>
      <w:r>
        <w:t>举报办理</w:t>
      </w:r>
    </w:p>
    <w:p w14:paraId="500C9A41">
      <w:pPr>
        <w:pStyle w:val="12"/>
      </w:pPr>
      <w:r>
        <w:rPr>
          <w:b/>
        </w:rPr>
        <w:t>第十一条</w:t>
      </w:r>
      <w:r>
        <w:t xml:space="preserve"> 核查处理重大安全事故隐患和安全生产非法违法行为的举报事项，按照下列规定办理：</w:t>
      </w:r>
    </w:p>
    <w:p w14:paraId="1C14283D">
      <w:pPr>
        <w:pStyle w:val="12"/>
        <w:numPr>
          <w:ilvl w:val="0"/>
          <w:numId w:val="6"/>
        </w:numPr>
        <w:topLinePunct w:val="0"/>
        <w:ind w:left="0" w:leftChars="0" w:firstLine="616" w:firstLineChars="0"/>
        <w:rPr>
          <w:b w:val="0"/>
        </w:rPr>
      </w:pPr>
      <w:r>
        <w:t>负有安全监管职责的部门可以依照各自的职责直接核查处理辖区内的举报事项；也可以将本级职责范围内的举报案件指定所在镇街、开发区负有安全监管职责的部门核查，下级部门核查结果应及时报上级部门。</w:t>
      </w:r>
    </w:p>
    <w:p w14:paraId="021AD548">
      <w:pPr>
        <w:pStyle w:val="12"/>
        <w:numPr>
          <w:ilvl w:val="0"/>
          <w:numId w:val="6"/>
        </w:numPr>
        <w:topLinePunct w:val="0"/>
        <w:ind w:left="0" w:leftChars="0" w:firstLine="616" w:firstLineChars="0"/>
        <w:rPr>
          <w:b w:val="0"/>
        </w:rPr>
      </w:pPr>
      <w:r>
        <w:t>负有安全监管职责的部门在核查举报事项之前，应当相互沟通，避免重复核查和奖励；对于举报事项存在职责交叉或需要多部门共同核查的，按照行业相近的原则由相应职能部门牵头，必要时可由同级安办牵头组织相关部门联合核查。对于情况紧急，存在发生生产安全事故紧迫危险的举报事项，受理单位应直接通知属地镇街、工业园区立即采取现场处理或行政强制等措施，严防事故发生。</w:t>
      </w:r>
    </w:p>
    <w:p w14:paraId="77BBC40B">
      <w:pPr>
        <w:pStyle w:val="12"/>
        <w:numPr>
          <w:ilvl w:val="0"/>
          <w:numId w:val="6"/>
        </w:numPr>
        <w:topLinePunct w:val="0"/>
        <w:ind w:left="0" w:leftChars="0" w:firstLine="616" w:firstLineChars="0"/>
        <w:rPr>
          <w:b w:val="0"/>
        </w:rPr>
      </w:pPr>
      <w:r>
        <w:t>举报事项不属于本单位受理范围的，接到举报的负有安全监管职责的部门应当告知举报人向有处理权的单位举报，或者将举报材料移送有处理权的单位，并采取适当方式告知举报人；</w:t>
      </w:r>
    </w:p>
    <w:p w14:paraId="14D27905">
      <w:pPr>
        <w:pStyle w:val="12"/>
        <w:numPr>
          <w:ilvl w:val="0"/>
          <w:numId w:val="6"/>
        </w:numPr>
        <w:topLinePunct w:val="0"/>
        <w:ind w:left="0" w:leftChars="0" w:firstLine="616" w:firstLineChars="0"/>
        <w:rPr>
          <w:b w:val="0"/>
        </w:rPr>
      </w:pPr>
      <w:r>
        <w:t>举报事项未达到重大安全事故隐患标准或不属于非法违法行为，但存在安全隐患的，负有安全监管职责的部门应立即督促责任单位消除隐患，并采取适当方式告知举报人；对不属于本单位受理范围的，参照本条第三款规定执行。</w:t>
      </w:r>
    </w:p>
    <w:p w14:paraId="2EE642CD">
      <w:pPr>
        <w:pStyle w:val="12"/>
        <w:numPr>
          <w:ilvl w:val="0"/>
          <w:numId w:val="6"/>
        </w:numPr>
        <w:topLinePunct w:val="0"/>
        <w:ind w:left="0" w:leftChars="0" w:firstLine="616" w:firstLineChars="0"/>
        <w:rPr>
          <w:b w:val="0"/>
        </w:rPr>
      </w:pPr>
      <w:r>
        <w:t>受理举报的负有安全监管职责的部门应当及时核查处理举报事项，自受理之日起60日内办结；情况复杂的，可以适当延长核查处理时间，但延长期限不得超过30日，并告知举报人延期理由。受核查手段限制，无法查清的，应及时抄告属地镇街，由其配合协助核查。</w:t>
      </w:r>
    </w:p>
    <w:p w14:paraId="715064E7">
      <w:pPr>
        <w:pStyle w:val="26"/>
        <w:numPr>
          <w:ilvl w:val="0"/>
          <w:numId w:val="1"/>
        </w:numPr>
        <w:topLinePunct w:val="0"/>
        <w:ind w:left="0" w:leftChars="0" w:firstLine="0" w:firstLineChars="0"/>
        <w:rPr>
          <w:b w:val="0"/>
        </w:rPr>
      </w:pPr>
      <w:r>
        <w:t>举报奖励</w:t>
      </w:r>
    </w:p>
    <w:p w14:paraId="3DCDA02B">
      <w:pPr>
        <w:pStyle w:val="12"/>
        <w:numPr>
          <w:ilvl w:val="0"/>
          <w:numId w:val="7"/>
        </w:numPr>
        <w:topLinePunct w:val="0"/>
        <w:ind w:left="0" w:leftChars="0" w:firstLine="616" w:firstLineChars="0"/>
        <w:rPr>
          <w:b/>
        </w:rPr>
      </w:pPr>
      <w:r>
        <w:t>经调查构成重大事故隐患的，受理举报的负有安全监管职责的部门应当对有功的实名举报人给予现金奖励2000元；非法违法行为情况属实的，受理举报的负有安全监管职责的部门应当对有功的实名举报人给予现金奖励1000元；若非法违法行</w:t>
      </w:r>
      <w:r>
        <w:rPr>
          <w:spacing w:val="0"/>
        </w:rPr>
        <w:t>为构成重大事故隐患的，则按照重大事故隐患标准予以兑</w:t>
      </w:r>
      <w:r>
        <w:rPr>
          <w:spacing w:val="-6"/>
        </w:rPr>
        <w:t>现</w:t>
      </w:r>
      <w:r>
        <w:t>奖励。</w:t>
      </w:r>
    </w:p>
    <w:p w14:paraId="51211987">
      <w:pPr>
        <w:pStyle w:val="12"/>
        <w:numPr>
          <w:ilvl w:val="0"/>
          <w:numId w:val="7"/>
        </w:numPr>
        <w:topLinePunct w:val="0"/>
        <w:ind w:left="0" w:leftChars="0" w:firstLine="616" w:firstLineChars="0"/>
        <w:rPr>
          <w:b/>
        </w:rPr>
      </w:pPr>
      <w:r>
        <w:t>多人多次举报同一事项的，由最先受理举报的负有安全监管职责的部门给予向该部门第一时间实名举报人奖励，表扬其他举报人；</w:t>
      </w:r>
    </w:p>
    <w:p w14:paraId="507B7B1C">
      <w:pPr>
        <w:pStyle w:val="12"/>
      </w:pPr>
      <w:r>
        <w:t>多人联名举报同一事项的，由实名举报的第一署名人或者第一署名人书面委托的其他署名人领取奖金，自行分配；</w:t>
      </w:r>
    </w:p>
    <w:p w14:paraId="5A993A1B">
      <w:pPr>
        <w:pStyle w:val="12"/>
      </w:pPr>
      <w:r>
        <w:t>生产经营单位从业人员举报本单位重大安全事故隐患和非法违法行为的还应提供签订的有效劳动合同等可以证明其生产经营单位从业人员身份的材料。</w:t>
      </w:r>
    </w:p>
    <w:p w14:paraId="7575BB08">
      <w:pPr>
        <w:pStyle w:val="12"/>
        <w:numPr>
          <w:ilvl w:val="0"/>
          <w:numId w:val="7"/>
        </w:numPr>
        <w:topLinePunct w:val="0"/>
        <w:ind w:left="0" w:leftChars="0" w:firstLine="616" w:firstLineChars="0"/>
        <w:rPr>
          <w:b/>
        </w:rPr>
      </w:pPr>
      <w:r>
        <w:t>下列举报不适用于本办法的奖励规定：</w:t>
      </w:r>
    </w:p>
    <w:p w14:paraId="0CFBCF8D">
      <w:pPr>
        <w:pStyle w:val="12"/>
        <w:numPr>
          <w:ilvl w:val="0"/>
          <w:numId w:val="8"/>
        </w:numPr>
        <w:topLinePunct w:val="0"/>
        <w:ind w:left="0" w:leftChars="0" w:firstLine="616" w:firstLineChars="0"/>
        <w:rPr>
          <w:b w:val="0"/>
        </w:rPr>
      </w:pPr>
      <w:r>
        <w:t>正在查处的非法违法行为及重大安全事故隐患。</w:t>
      </w:r>
    </w:p>
    <w:p w14:paraId="49073F97">
      <w:pPr>
        <w:pStyle w:val="12"/>
        <w:numPr>
          <w:ilvl w:val="0"/>
          <w:numId w:val="8"/>
        </w:numPr>
        <w:topLinePunct w:val="0"/>
        <w:ind w:left="0" w:leftChars="0" w:firstLine="616" w:firstLineChars="0"/>
        <w:rPr>
          <w:b w:val="0"/>
        </w:rPr>
      </w:pPr>
      <w:r>
        <w:t>生产经营单位已开始整改或已向负有安全监管职责的部门报告隐患整改方案的。</w:t>
      </w:r>
    </w:p>
    <w:p w14:paraId="45C90378">
      <w:pPr>
        <w:pStyle w:val="12"/>
        <w:numPr>
          <w:ilvl w:val="0"/>
          <w:numId w:val="8"/>
        </w:numPr>
        <w:topLinePunct w:val="0"/>
        <w:ind w:left="0" w:leftChars="0" w:firstLine="616" w:firstLineChars="0"/>
        <w:rPr>
          <w:b w:val="0"/>
        </w:rPr>
      </w:pPr>
      <w:r>
        <w:t>具有安全生产管理、监管、监察职责的工作人员及其近亲属或其授意他人举报的。执法检查中聘请的第三方安全技术服务机构人员或其他有关人员参照执行。</w:t>
      </w:r>
    </w:p>
    <w:p w14:paraId="2C682968">
      <w:pPr>
        <w:pStyle w:val="12"/>
        <w:numPr>
          <w:ilvl w:val="0"/>
          <w:numId w:val="8"/>
        </w:numPr>
        <w:topLinePunct w:val="0"/>
        <w:ind w:left="0" w:leftChars="0" w:firstLine="616" w:firstLineChars="0"/>
        <w:rPr>
          <w:b w:val="0"/>
        </w:rPr>
      </w:pPr>
      <w:r>
        <w:t>匿名举报或未留下有效联系方式的。</w:t>
      </w:r>
    </w:p>
    <w:p w14:paraId="45FA8CBB">
      <w:pPr>
        <w:pStyle w:val="12"/>
        <w:numPr>
          <w:ilvl w:val="0"/>
          <w:numId w:val="8"/>
        </w:numPr>
        <w:topLinePunct w:val="0"/>
        <w:ind w:left="0" w:leftChars="0" w:firstLine="616" w:firstLineChars="0"/>
        <w:rPr>
          <w:b w:val="0"/>
        </w:rPr>
      </w:pPr>
      <w:r>
        <w:t>已进入诉讼、仲裁、行政复议等法定程序的。</w:t>
      </w:r>
    </w:p>
    <w:p w14:paraId="15508B3E">
      <w:pPr>
        <w:pStyle w:val="12"/>
        <w:numPr>
          <w:ilvl w:val="0"/>
          <w:numId w:val="8"/>
        </w:numPr>
        <w:topLinePunct w:val="0"/>
        <w:ind w:left="0" w:leftChars="0" w:firstLine="616" w:firstLineChars="0"/>
        <w:rPr>
          <w:b w:val="0"/>
        </w:rPr>
      </w:pPr>
      <w:r>
        <w:t>生产安全事故已依法调查处理的。</w:t>
      </w:r>
    </w:p>
    <w:p w14:paraId="49036780">
      <w:pPr>
        <w:pStyle w:val="12"/>
        <w:numPr>
          <w:ilvl w:val="0"/>
          <w:numId w:val="8"/>
        </w:numPr>
        <w:topLinePunct w:val="0"/>
        <w:ind w:left="0" w:leftChars="0" w:firstLine="616" w:firstLineChars="0"/>
        <w:rPr>
          <w:b w:val="0"/>
        </w:rPr>
      </w:pPr>
      <w:r>
        <w:t>重复举报的。</w:t>
      </w:r>
    </w:p>
    <w:p w14:paraId="12C277FD">
      <w:pPr>
        <w:pStyle w:val="12"/>
        <w:numPr>
          <w:ilvl w:val="0"/>
          <w:numId w:val="8"/>
        </w:numPr>
        <w:topLinePunct w:val="0"/>
        <w:ind w:left="0" w:leftChars="0" w:firstLine="616" w:firstLineChars="0"/>
        <w:rPr>
          <w:b w:val="0"/>
        </w:rPr>
      </w:pPr>
      <w:r>
        <w:t>举报受理部门依法认为不应奖励的。</w:t>
      </w:r>
    </w:p>
    <w:p w14:paraId="2EA0F0CE">
      <w:pPr>
        <w:pStyle w:val="12"/>
      </w:pPr>
      <w:r>
        <w:t>生产经营单位安全生产管理人员因履行安全生产管理职责发现安全生产领域非法违法行为和重大安全事故隐患的，应依法立即处理；不能处理的，应报告本单位有关负责人及时处理。生产经营单位负责人未及时或有效处理的，生产经营单位安全生产管理人员的举报才可纳入奖励范围。不得以举报代替应依法履行的安全生产管理职责。</w:t>
      </w:r>
    </w:p>
    <w:p w14:paraId="5A198230">
      <w:pPr>
        <w:pStyle w:val="12"/>
      </w:pPr>
      <w:r>
        <w:t>举报受理部门认为举报人举报的事项不适用本办法奖励规定的，应告知举报人不予奖励的决定及理由。</w:t>
      </w:r>
    </w:p>
    <w:p w14:paraId="07F9E1EC">
      <w:pPr>
        <w:pStyle w:val="12"/>
        <w:numPr>
          <w:ilvl w:val="0"/>
          <w:numId w:val="7"/>
        </w:numPr>
        <w:topLinePunct w:val="0"/>
        <w:ind w:left="0" w:leftChars="0" w:firstLine="616" w:firstLineChars="0"/>
        <w:rPr>
          <w:b/>
        </w:rPr>
      </w:pPr>
      <w:r>
        <w:t>举报人接到领奖通知后，应当在60日内凭举报人有效证件到指定地点领取奖金；无法通知举报人的，受理举报的负有安全监管职责的部门可以在一定范围内进行公告。逾期未领取奖金者，视为放弃领奖权利；能够在逾期前说明理由的，可以适当延长领取时间，延长时间不得超过30日。</w:t>
      </w:r>
    </w:p>
    <w:p w14:paraId="079CB7DA">
      <w:pPr>
        <w:pStyle w:val="26"/>
        <w:numPr>
          <w:ilvl w:val="0"/>
          <w:numId w:val="1"/>
        </w:numPr>
        <w:topLinePunct w:val="0"/>
        <w:ind w:left="0" w:leftChars="0" w:firstLine="0" w:firstLineChars="0"/>
        <w:rPr>
          <w:b w:val="0"/>
        </w:rPr>
      </w:pPr>
      <w:r>
        <w:t>工作纪律</w:t>
      </w:r>
    </w:p>
    <w:p w14:paraId="04B306C8">
      <w:pPr>
        <w:pStyle w:val="12"/>
        <w:numPr>
          <w:ilvl w:val="0"/>
          <w:numId w:val="9"/>
        </w:numPr>
        <w:topLinePunct w:val="0"/>
        <w:ind w:left="0" w:leftChars="0" w:firstLine="616" w:firstLineChars="0"/>
        <w:rPr>
          <w:b/>
        </w:rPr>
      </w:pPr>
      <w:r>
        <w:t>参与举报处理工作的人员必须严格遵守保密纪律，依法保护举报人的合法权益，未经举报人同意，不得以任何方式透露举报人身份、举报内容和奖励等情况，违者依法承担相应责任。</w:t>
      </w:r>
    </w:p>
    <w:p w14:paraId="0CA9A348">
      <w:pPr>
        <w:pStyle w:val="12"/>
        <w:numPr>
          <w:ilvl w:val="0"/>
          <w:numId w:val="9"/>
        </w:numPr>
        <w:topLinePunct w:val="0"/>
        <w:ind w:left="0" w:leftChars="0" w:firstLine="616" w:firstLineChars="0"/>
        <w:rPr>
          <w:b/>
        </w:rPr>
      </w:pPr>
      <w:r>
        <w:t>区安办要定期组织对本级负有安全监管职责的部门和下级人民政府安全生产领域举报奖励办理情况进行督导检查，对未按规定受理举报事项、未按时限要求及时办结、奖励落实不到位等情况进行通报，并纳入年度安全生产工作考核内容。</w:t>
      </w:r>
    </w:p>
    <w:p w14:paraId="3BDF76FC">
      <w:pPr>
        <w:pStyle w:val="26"/>
        <w:numPr>
          <w:ilvl w:val="0"/>
          <w:numId w:val="1"/>
        </w:numPr>
        <w:topLinePunct w:val="0"/>
        <w:ind w:left="0" w:leftChars="0" w:firstLine="0" w:firstLineChars="0"/>
        <w:rPr>
          <w:b w:val="0"/>
        </w:rPr>
      </w:pPr>
      <w:r>
        <w:t>附则</w:t>
      </w:r>
    </w:p>
    <w:p w14:paraId="7DA4F901">
      <w:pPr>
        <w:pStyle w:val="12"/>
        <w:numPr>
          <w:ilvl w:val="0"/>
          <w:numId w:val="10"/>
        </w:numPr>
        <w:topLinePunct w:val="0"/>
        <w:ind w:left="0" w:leftChars="0" w:firstLine="616" w:firstLineChars="0"/>
        <w:rPr>
          <w:b/>
        </w:rPr>
      </w:pPr>
      <w:r>
        <w:t>由区应急管理局受理的安全生产领域举报奖励资金</w:t>
      </w:r>
      <w:r>
        <w:rPr>
          <w:spacing w:val="0"/>
        </w:rPr>
        <w:t>每年从安全生产专项资金中列支，并接受审计、监察等部</w:t>
      </w:r>
      <w:r>
        <w:rPr>
          <w:spacing w:val="-6"/>
        </w:rPr>
        <w:t>门</w:t>
      </w:r>
      <w:r>
        <w:t>监督。</w:t>
      </w:r>
    </w:p>
    <w:p w14:paraId="17DB9AC4">
      <w:pPr>
        <w:pStyle w:val="12"/>
        <w:numPr>
          <w:ilvl w:val="0"/>
          <w:numId w:val="10"/>
        </w:numPr>
        <w:topLinePunct w:val="0"/>
        <w:ind w:left="0" w:leftChars="0" w:firstLine="616" w:firstLineChars="0"/>
        <w:rPr>
          <w:b/>
        </w:rPr>
      </w:pPr>
      <w:r>
        <w:t>本办法由荔城区应急管理局负责解释。</w:t>
      </w:r>
    </w:p>
    <w:p w14:paraId="50B003B9">
      <w:pPr>
        <w:pStyle w:val="12"/>
        <w:numPr>
          <w:ilvl w:val="0"/>
          <w:numId w:val="10"/>
        </w:numPr>
        <w:topLinePunct w:val="0"/>
        <w:ind w:left="0" w:leftChars="0" w:firstLine="616" w:firstLineChars="0"/>
        <w:rPr>
          <w:b/>
        </w:rPr>
      </w:pPr>
      <w:r>
        <w:t>本办法自印发之日起施行，有效期5年。原《莆田市荔城区人民政府办公室关于印发〈莆田市荔城区安全生产领域举报奖励办法（暂行）〉的通知》（荔政办规〔2023〕1号）同时废止。</w:t>
      </w:r>
    </w:p>
    <w:tbl>
      <w:tblPr>
        <w:tblStyle w:val="21"/>
        <w:tblpPr w:leftFromText="181" w:rightFromText="181" w:horzAnchor="margin" w:tblpXSpec="center" w:tblpYSpec="bottom"/>
        <w:tblOverlap w:val="never"/>
        <w:tblW w:w="4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8"/>
        <w:gridCol w:w="4133"/>
        <w:gridCol w:w="3353"/>
      </w:tblGrid>
      <w:tr w14:paraId="3590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58" w:type="pct"/>
            <w:tcBorders>
              <w:top w:val="single" w:color="auto" w:sz="8" w:space="0"/>
              <w:bottom w:val="single" w:color="auto" w:sz="6" w:space="0"/>
              <w:tl2br w:val="nil"/>
              <w:tr2bl w:val="nil"/>
            </w:tcBorders>
            <w:noWrap w:val="0"/>
            <w:tcMar>
              <w:top w:w="0" w:type="dxa"/>
              <w:left w:w="108" w:type="dxa"/>
              <w:bottom w:w="0" w:type="dxa"/>
              <w:right w:w="108" w:type="dxa"/>
            </w:tcMar>
            <w:vAlign w:val="top"/>
          </w:tcPr>
          <w:p w14:paraId="40F2D818">
            <w:pPr>
              <w:pStyle w:val="12"/>
              <w:keepNext w:val="0"/>
              <w:keepLines w:val="0"/>
              <w:pageBreakBefore w:val="0"/>
              <w:widowControl w:val="0"/>
              <w:kinsoku/>
              <w:wordWrap/>
              <w:overflowPunct/>
              <w:topLinePunct w:val="0"/>
              <w:autoSpaceDE/>
              <w:autoSpaceDN/>
              <w:bidi w:val="0"/>
              <w:adjustRightInd/>
              <w:snapToGrid/>
              <w:ind w:left="320" w:leftChars="100" w:firstLine="0" w:firstLineChars="0"/>
              <w:textAlignment w:val="auto"/>
              <w:rPr>
                <w:rFonts w:hint="eastAsia" w:cs="仿宋_GB2312"/>
                <w:spacing w:val="-6"/>
                <w:kern w:val="2"/>
                <w:szCs w:val="28"/>
                <w:lang w:val="en-US" w:eastAsia="zh-CN" w:bidi="ar-SA"/>
              </w:rPr>
            </w:pPr>
            <w:r>
              <w:rPr>
                <w:rFonts w:hint="eastAsia" w:cs="仿宋_GB2312"/>
                <w:spacing w:val="0"/>
                <w:sz w:val="28"/>
                <w:szCs w:val="28"/>
              </w:rPr>
              <w:t>抄送：</w:t>
            </w:r>
          </w:p>
        </w:tc>
        <w:tc>
          <w:tcPr>
            <w:tcW w:w="4241" w:type="pct"/>
            <w:gridSpan w:val="2"/>
            <w:tcBorders>
              <w:top w:val="single" w:color="auto" w:sz="8" w:space="0"/>
              <w:bottom w:val="single" w:color="auto" w:sz="6" w:space="0"/>
              <w:tl2br w:val="nil"/>
              <w:tr2bl w:val="nil"/>
            </w:tcBorders>
            <w:noWrap w:val="0"/>
            <w:tcMar>
              <w:left w:w="108" w:type="dxa"/>
              <w:right w:w="108" w:type="dxa"/>
            </w:tcMar>
            <w:vAlign w:val="top"/>
          </w:tcPr>
          <w:p w14:paraId="44A032A9">
            <w:pPr>
              <w:pStyle w:val="1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pacing w:val="-6"/>
                <w:szCs w:val="28"/>
                <w:lang w:val="en-US" w:eastAsia="zh-CN"/>
              </w:rPr>
            </w:pPr>
            <w:r>
              <w:rPr>
                <w:rFonts w:hint="eastAsia" w:cs="仿宋_GB2312"/>
                <w:spacing w:val="0"/>
                <w:sz w:val="28"/>
                <w:szCs w:val="28"/>
                <w:lang w:val="en-US" w:eastAsia="zh-CN"/>
              </w:rPr>
              <w:t>莆田市应急管理局，荔城区委办、，区府办、，区纪委监委办、，区，审计局。</w:t>
            </w:r>
          </w:p>
        </w:tc>
      </w:tr>
      <w:tr w14:paraId="249C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100" w:type="pct"/>
            <w:gridSpan w:val="2"/>
            <w:tcBorders>
              <w:top w:val="single" w:color="auto" w:sz="6" w:space="0"/>
              <w:bottom w:val="single" w:color="auto" w:sz="8" w:space="0"/>
            </w:tcBorders>
            <w:noWrap w:val="0"/>
            <w:tcMar>
              <w:left w:w="108" w:type="dxa"/>
              <w:right w:w="108" w:type="dxa"/>
            </w:tcMar>
            <w:vAlign w:val="center"/>
          </w:tcPr>
          <w:p w14:paraId="63E9D694">
            <w:pPr>
              <w:pStyle w:val="12"/>
              <w:keepNext w:val="0"/>
              <w:keepLines w:val="0"/>
              <w:pageBreakBefore w:val="0"/>
              <w:widowControl w:val="0"/>
              <w:kinsoku/>
              <w:wordWrap/>
              <w:overflowPunct/>
              <w:topLinePunct w:val="0"/>
              <w:autoSpaceDE/>
              <w:autoSpaceDN/>
              <w:bidi w:val="0"/>
              <w:adjustRightInd/>
              <w:snapToGrid/>
              <w:ind w:left="320" w:leftChars="100" w:firstLine="0" w:firstLineChars="0"/>
              <w:textAlignment w:val="auto"/>
              <w:rPr>
                <w:rFonts w:hint="default" w:ascii="仿宋_GB2312" w:hAnsi="仿宋_GB2312" w:eastAsia="仿宋_GB2312" w:cs="仿宋_GB2312"/>
                <w:spacing w:val="-6"/>
                <w:szCs w:val="28"/>
                <w:lang w:val="en-US" w:eastAsia="zh-CN"/>
              </w:rPr>
            </w:pPr>
            <w:r>
              <w:rPr>
                <w:rFonts w:hint="eastAsia" w:cs="仿宋_GB2312"/>
                <w:spacing w:val="0"/>
                <w:sz w:val="28"/>
                <w:szCs w:val="28"/>
                <w:lang w:val="en-US" w:eastAsia="zh-CN"/>
              </w:rPr>
              <w:t>莆田市荔城区应急管理局办公室</w:t>
            </w:r>
          </w:p>
        </w:tc>
        <w:tc>
          <w:tcPr>
            <w:tcW w:w="2038" w:type="pct"/>
            <w:tcBorders>
              <w:top w:val="single" w:color="auto" w:sz="6" w:space="0"/>
              <w:bottom w:val="single" w:color="auto" w:sz="8" w:space="0"/>
            </w:tcBorders>
            <w:noWrap w:val="0"/>
            <w:tcMar>
              <w:left w:w="108" w:type="dxa"/>
              <w:right w:w="108" w:type="dxa"/>
            </w:tcMar>
            <w:vAlign w:val="center"/>
          </w:tcPr>
          <w:p w14:paraId="6D1592FB">
            <w:pPr>
              <w:pStyle w:val="12"/>
              <w:keepNext w:val="0"/>
              <w:keepLines w:val="0"/>
              <w:pageBreakBefore w:val="0"/>
              <w:widowControl w:val="0"/>
              <w:kinsoku/>
              <w:wordWrap/>
              <w:overflowPunct/>
              <w:topLinePunct w:val="0"/>
              <w:autoSpaceDE/>
              <w:autoSpaceDN/>
              <w:bidi w:val="0"/>
              <w:adjustRightInd/>
              <w:snapToGrid/>
              <w:ind w:right="320" w:rightChars="100" w:firstLine="0" w:firstLineChars="0"/>
              <w:jc w:val="right"/>
              <w:textAlignment w:val="auto"/>
              <w:rPr>
                <w:rFonts w:hint="eastAsia" w:ascii="仿宋_GB2312" w:hAnsi="仿宋_GB2312" w:eastAsia="仿宋_GB2312" w:cs="仿宋_GB2312"/>
                <w:spacing w:val="-6"/>
                <w:szCs w:val="28"/>
                <w:lang w:val="en-US" w:eastAsia="zh-CN"/>
              </w:rPr>
            </w:pPr>
            <w:r>
              <w:rPr>
                <w:rFonts w:hint="eastAsia" w:cs="仿宋_GB2312"/>
                <w:spacing w:val="0"/>
                <w:sz w:val="28"/>
                <w:szCs w:val="28"/>
              </w:rPr>
              <w:t>2025年</w:t>
            </w:r>
            <w:r>
              <w:rPr>
                <w:rFonts w:hint="eastAsia" w:cs="仿宋_GB2312"/>
                <w:spacing w:val="0"/>
                <w:sz w:val="28"/>
                <w:szCs w:val="28"/>
                <w:lang w:val="en-US" w:eastAsia="zh-CN"/>
              </w:rPr>
              <w:t xml:space="preserve"> 10</w:t>
            </w:r>
            <w:r>
              <w:rPr>
                <w:rFonts w:hint="eastAsia" w:cs="仿宋_GB2312"/>
                <w:spacing w:val="0"/>
                <w:sz w:val="28"/>
                <w:szCs w:val="28"/>
              </w:rPr>
              <w:t>月</w:t>
            </w:r>
            <w:r>
              <w:rPr>
                <w:rFonts w:hint="eastAsia" w:cs="仿宋_GB2312"/>
                <w:spacing w:val="0"/>
                <w:sz w:val="28"/>
                <w:szCs w:val="28"/>
                <w:lang w:val="en-US" w:eastAsia="zh-CN"/>
              </w:rPr>
              <w:t>31</w:t>
            </w:r>
            <w:bookmarkStart w:id="0" w:name="_GoBack"/>
            <w:bookmarkEnd w:id="0"/>
            <w:r>
              <w:rPr>
                <w:rFonts w:hint="eastAsia" w:cs="仿宋_GB2312"/>
                <w:spacing w:val="0"/>
                <w:sz w:val="28"/>
                <w:szCs w:val="28"/>
              </w:rPr>
              <w:t>日</w:t>
            </w:r>
            <w:r>
              <w:rPr>
                <w:rFonts w:hint="eastAsia" w:ascii="仿宋_GB2312" w:hAnsi="仿宋_GB2312" w:eastAsia="仿宋_GB2312" w:cs="仿宋_GB2312"/>
                <w:spacing w:val="0"/>
                <w:sz w:val="28"/>
                <w:szCs w:val="28"/>
              </w:rPr>
              <w:t>印发</w:t>
            </w:r>
          </w:p>
        </w:tc>
      </w:tr>
    </w:tbl>
    <w:p w14:paraId="73E41D02">
      <w:pPr>
        <w:pStyle w:val="12"/>
        <w:bidi w:val="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pgNumType w:fmt="decimal" w:start="1"/>
      <w:cols w:space="720" w:num="1"/>
      <w:docGrid w:type="linesAndChars" w:linePitch="579" w:charSpace="15"/>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GWZT-EN">
    <w:altName w:val="Nyala"/>
    <w:panose1 w:val="02020400000000000000"/>
    <w:charset w:val="00"/>
    <w:family w:val="auto"/>
    <w:pitch w:val="default"/>
    <w:sig w:usb0="00000000" w:usb1="00000000" w:usb2="00082016" w:usb3="00000000" w:csb0="00000003" w:csb1="00000000"/>
  </w:font>
  <w:font w:name="Nyala">
    <w:panose1 w:val="02000504070300020003"/>
    <w:charset w:val="00"/>
    <w:family w:val="auto"/>
    <w:pitch w:val="default"/>
    <w:sig w:usb0="A000006F" w:usb1="00000000" w:usb2="00000800" w:usb3="00000000" w:csb0="00000093"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68A6">
    <w:pPr>
      <w:pStyle w:val="15"/>
      <w:framePr w:w="1055" w:wrap="around" w:vAnchor="text" w:hAnchor="margin" w:xAlign="outside" w:y="7"/>
      <w:rPr>
        <w:rStyle w:val="24"/>
        <w:rFonts w:hint="eastAsia" w:ascii="宋体" w:hAnsi="宋体"/>
        <w:sz w:val="28"/>
        <w:szCs w:val="28"/>
      </w:rPr>
    </w:pPr>
    <w:r>
      <w:rPr>
        <w:rStyle w:val="24"/>
        <w:rFonts w:hint="eastAsia" w:ascii="宋体" w:hAnsi="宋体"/>
        <w:sz w:val="28"/>
        <w:szCs w:val="28"/>
      </w:rPr>
      <w:t xml:space="preserve">— </w:t>
    </w:r>
    <w:r>
      <w:rPr>
        <w:rFonts w:hint="eastAsia" w:ascii="宋体" w:hAnsi="宋体"/>
        <w:sz w:val="28"/>
        <w:szCs w:val="28"/>
      </w:rPr>
      <w:fldChar w:fldCharType="begin"/>
    </w:r>
    <w:r>
      <w:rPr>
        <w:rStyle w:val="24"/>
        <w:rFonts w:hint="eastAsia" w:ascii="宋体" w:hAnsi="宋体"/>
        <w:sz w:val="28"/>
        <w:szCs w:val="28"/>
      </w:rPr>
      <w:instrText xml:space="preserve">PAGE  </w:instrText>
    </w:r>
    <w:r>
      <w:rPr>
        <w:rFonts w:hint="eastAsia" w:ascii="宋体" w:hAnsi="宋体"/>
        <w:sz w:val="28"/>
        <w:szCs w:val="28"/>
      </w:rPr>
      <w:fldChar w:fldCharType="separate"/>
    </w:r>
    <w:r>
      <w:rPr>
        <w:rStyle w:val="24"/>
        <w:rFonts w:ascii="宋体" w:hAnsi="宋体"/>
        <w:sz w:val="28"/>
        <w:szCs w:val="28"/>
      </w:rPr>
      <w:t>1</w:t>
    </w:r>
    <w:r>
      <w:rPr>
        <w:rFonts w:hint="eastAsia" w:ascii="宋体" w:hAnsi="宋体"/>
        <w:sz w:val="28"/>
        <w:szCs w:val="28"/>
      </w:rPr>
      <w:fldChar w:fldCharType="end"/>
    </w:r>
    <w:r>
      <w:rPr>
        <w:rStyle w:val="24"/>
        <w:rFonts w:hint="eastAsia" w:ascii="宋体" w:hAnsi="宋体"/>
        <w:sz w:val="28"/>
        <w:szCs w:val="28"/>
      </w:rPr>
      <w:t xml:space="preserve"> —</w:t>
    </w:r>
  </w:p>
  <w:p w14:paraId="62DA6A36">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BEDD">
    <w:pPr>
      <w:pStyle w:val="15"/>
      <w:framePr w:wrap="around" w:vAnchor="text" w:hAnchor="margin" w:xAlign="outside" w:y="1"/>
      <w:rPr>
        <w:rStyle w:val="24"/>
      </w:rPr>
    </w:pPr>
    <w:r>
      <w:fldChar w:fldCharType="begin"/>
    </w:r>
    <w:r>
      <w:rPr>
        <w:rStyle w:val="24"/>
      </w:rPr>
      <w:instrText xml:space="preserve">PAGE  </w:instrText>
    </w:r>
    <w:r>
      <w:fldChar w:fldCharType="separate"/>
    </w:r>
    <w:r>
      <w:fldChar w:fldCharType="end"/>
    </w:r>
  </w:p>
  <w:p w14:paraId="42D1F59E">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17F6">
    <w:pPr>
      <w:pStyle w:val="15"/>
      <w:widowControl w:val="0"/>
      <w:autoSpaceDE/>
      <w:autoSpaceDN/>
      <w:adjustRightInd/>
      <w:snapToGrid/>
      <w:spacing w:beforeAutospacing="0" w:afterAutospacing="0" w:line="240" w:lineRule="auto"/>
      <w:ind w:left="0" w:leftChars="0" w:right="320" w:rightChars="100" w:firstLine="0" w:firstLineChars="0"/>
      <w:outlineLvl w:val="9"/>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F2EF">
                          <w:pPr>
                            <w:pStyle w:val="1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095FF2EF">
                    <w:pPr>
                      <w:pStyle w:val="1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0351">
    <w:pPr>
      <w:pStyle w:val="15"/>
      <w:widowControl w:val="0"/>
      <w:autoSpaceDE/>
      <w:autoSpaceDN/>
      <w:adjustRightInd/>
      <w:snapToGrid/>
      <w:spacing w:beforeAutospacing="0" w:afterAutospacing="0" w:line="240" w:lineRule="auto"/>
      <w:ind w:left="320" w:leftChars="100" w:right="0" w:rightChars="0" w:firstLine="0" w:firstLineChars="0"/>
      <w:outlineLvl w:val="9"/>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A1C23">
                          <w:pPr>
                            <w:pStyle w:val="1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492A1C23">
                    <w:pPr>
                      <w:pStyle w:val="1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FA5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CC8C6">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A5A5">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796F">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020D6"/>
    <w:multiLevelType w:val="singleLevel"/>
    <w:tmpl w:val="8FE020D6"/>
    <w:lvl w:ilvl="0" w:tentative="0">
      <w:start w:val="12"/>
      <w:numFmt w:val="chineseCounting"/>
      <w:suff w:val="nothing"/>
      <w:lvlText w:val="第%1条　"/>
      <w:lvlJc w:val="left"/>
      <w:pPr>
        <w:ind w:left="0" w:firstLine="616"/>
      </w:pPr>
      <w:rPr>
        <w:rFonts w:hint="eastAsia"/>
      </w:rPr>
    </w:lvl>
  </w:abstractNum>
  <w:abstractNum w:abstractNumId="1">
    <w:nsid w:val="9B658841"/>
    <w:multiLevelType w:val="singleLevel"/>
    <w:tmpl w:val="9B658841"/>
    <w:lvl w:ilvl="0" w:tentative="0">
      <w:start w:val="1"/>
      <w:numFmt w:val="taiwaneseCounting"/>
      <w:suff w:val="nothing"/>
      <w:lvlText w:val="（%1）"/>
      <w:lvlJc w:val="left"/>
      <w:pPr>
        <w:ind w:left="0" w:firstLine="616"/>
      </w:pPr>
      <w:rPr>
        <w:rFonts w:hint="eastAsia"/>
      </w:rPr>
    </w:lvl>
  </w:abstractNum>
  <w:abstractNum w:abstractNumId="2">
    <w:nsid w:val="9BD39951"/>
    <w:multiLevelType w:val="singleLevel"/>
    <w:tmpl w:val="9BD39951"/>
    <w:lvl w:ilvl="0" w:tentative="0">
      <w:start w:val="1"/>
      <w:numFmt w:val="decimal"/>
      <w:suff w:val="nothing"/>
      <w:lvlText w:val="%1．"/>
      <w:lvlJc w:val="left"/>
      <w:pPr>
        <w:ind w:left="0" w:firstLine="616"/>
      </w:pPr>
      <w:rPr>
        <w:rFonts w:hint="default"/>
      </w:rPr>
    </w:lvl>
  </w:abstractNum>
  <w:abstractNum w:abstractNumId="3">
    <w:nsid w:val="A1199448"/>
    <w:multiLevelType w:val="singleLevel"/>
    <w:tmpl w:val="A1199448"/>
    <w:lvl w:ilvl="0" w:tentative="0">
      <w:start w:val="1"/>
      <w:numFmt w:val="taiwaneseCounting"/>
      <w:suff w:val="nothing"/>
      <w:lvlText w:val="%1、"/>
      <w:lvlJc w:val="left"/>
      <w:pPr>
        <w:ind w:left="0" w:firstLine="0"/>
      </w:pPr>
      <w:rPr>
        <w:rFonts w:hint="eastAsia"/>
      </w:rPr>
    </w:lvl>
  </w:abstractNum>
  <w:abstractNum w:abstractNumId="4">
    <w:nsid w:val="C07910C0"/>
    <w:multiLevelType w:val="singleLevel"/>
    <w:tmpl w:val="C07910C0"/>
    <w:lvl w:ilvl="0" w:tentative="0">
      <w:start w:val="1"/>
      <w:numFmt w:val="chineseCounting"/>
      <w:suff w:val="nothing"/>
      <w:lvlText w:val="第%1条　"/>
      <w:lvlJc w:val="left"/>
      <w:pPr>
        <w:ind w:left="0" w:firstLine="616"/>
      </w:pPr>
      <w:rPr>
        <w:rFonts w:hint="eastAsia"/>
      </w:rPr>
    </w:lvl>
  </w:abstractNum>
  <w:abstractNum w:abstractNumId="5">
    <w:nsid w:val="C18B3E31"/>
    <w:multiLevelType w:val="singleLevel"/>
    <w:tmpl w:val="C18B3E31"/>
    <w:lvl w:ilvl="0" w:tentative="0">
      <w:start w:val="18"/>
      <w:numFmt w:val="chineseCounting"/>
      <w:suff w:val="nothing"/>
      <w:lvlText w:val="第%1条　"/>
      <w:lvlJc w:val="left"/>
      <w:pPr>
        <w:ind w:left="0" w:firstLine="616"/>
      </w:pPr>
      <w:rPr>
        <w:rFonts w:hint="eastAsia"/>
      </w:rPr>
    </w:lvl>
  </w:abstractNum>
  <w:abstractNum w:abstractNumId="6">
    <w:nsid w:val="D5E0FED9"/>
    <w:multiLevelType w:val="singleLevel"/>
    <w:tmpl w:val="D5E0FED9"/>
    <w:lvl w:ilvl="0" w:tentative="0">
      <w:start w:val="6"/>
      <w:numFmt w:val="chineseCounting"/>
      <w:suff w:val="nothing"/>
      <w:lvlText w:val="第%1条　"/>
      <w:lvlJc w:val="left"/>
      <w:pPr>
        <w:ind w:left="0" w:firstLine="616"/>
      </w:pPr>
      <w:rPr>
        <w:rFonts w:hint="eastAsia"/>
      </w:rPr>
    </w:lvl>
  </w:abstractNum>
  <w:abstractNum w:abstractNumId="7">
    <w:nsid w:val="E52908A6"/>
    <w:multiLevelType w:val="singleLevel"/>
    <w:tmpl w:val="E52908A6"/>
    <w:lvl w:ilvl="0" w:tentative="0">
      <w:start w:val="1"/>
      <w:numFmt w:val="decimal"/>
      <w:suff w:val="nothing"/>
      <w:lvlText w:val="%1．"/>
      <w:lvlJc w:val="left"/>
      <w:pPr>
        <w:ind w:left="0" w:firstLine="616"/>
      </w:pPr>
      <w:rPr>
        <w:rFonts w:hint="default"/>
      </w:rPr>
    </w:lvl>
  </w:abstractNum>
  <w:abstractNum w:abstractNumId="8">
    <w:nsid w:val="FEAECFDD"/>
    <w:multiLevelType w:val="singleLevel"/>
    <w:tmpl w:val="FEAECFDD"/>
    <w:lvl w:ilvl="0" w:tentative="0">
      <w:start w:val="8"/>
      <w:numFmt w:val="chineseCounting"/>
      <w:suff w:val="nothing"/>
      <w:lvlText w:val="第%1条　"/>
      <w:lvlJc w:val="left"/>
      <w:pPr>
        <w:ind w:left="0" w:firstLine="616"/>
      </w:pPr>
      <w:rPr>
        <w:rFonts w:hint="eastAsia"/>
      </w:rPr>
    </w:lvl>
  </w:abstractNum>
  <w:abstractNum w:abstractNumId="9">
    <w:nsid w:val="5238C969"/>
    <w:multiLevelType w:val="singleLevel"/>
    <w:tmpl w:val="5238C969"/>
    <w:lvl w:ilvl="0" w:tentative="0">
      <w:start w:val="16"/>
      <w:numFmt w:val="chineseCounting"/>
      <w:suff w:val="nothing"/>
      <w:lvlText w:val="第%1条　"/>
      <w:lvlJc w:val="left"/>
      <w:pPr>
        <w:ind w:left="0" w:firstLine="616"/>
      </w:pPr>
      <w:rPr>
        <w:rFonts w:hint="eastAsia"/>
      </w:rPr>
    </w:lvl>
  </w:abstractNum>
  <w:num w:numId="1">
    <w:abstractNumId w:val="3"/>
  </w:num>
  <w:num w:numId="2">
    <w:abstractNumId w:val="4"/>
  </w:num>
  <w:num w:numId="3">
    <w:abstractNumId w:val="6"/>
  </w:num>
  <w:num w:numId="4">
    <w:abstractNumId w:val="2"/>
  </w:num>
  <w:num w:numId="5">
    <w:abstractNumId w:val="8"/>
  </w:num>
  <w:num w:numId="6">
    <w:abstractNumId w:val="1"/>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YTEzM2FkYjE3NmY2YzNhZmQyNzQ2ZjZjNGI5OGEifQ=="/>
    <w:docVar w:name="KSO_WPS_MARK_KEY" w:val="ac6efd40-5ad4-4f06-9558-e5cf32dd3ec0"/>
  </w:docVars>
  <w:rsids>
    <w:rsidRoot w:val="00172A27"/>
    <w:rsid w:val="000B3BF2"/>
    <w:rsid w:val="00112BB6"/>
    <w:rsid w:val="001D3F39"/>
    <w:rsid w:val="00276106"/>
    <w:rsid w:val="00300578"/>
    <w:rsid w:val="00414B79"/>
    <w:rsid w:val="004B5DC2"/>
    <w:rsid w:val="004E10C7"/>
    <w:rsid w:val="0054363B"/>
    <w:rsid w:val="00616D0D"/>
    <w:rsid w:val="00732D3A"/>
    <w:rsid w:val="0084228E"/>
    <w:rsid w:val="00933AF0"/>
    <w:rsid w:val="009A13B3"/>
    <w:rsid w:val="00A94E27"/>
    <w:rsid w:val="00AD37DA"/>
    <w:rsid w:val="00D22CB8"/>
    <w:rsid w:val="00DE4DC5"/>
    <w:rsid w:val="00DF742A"/>
    <w:rsid w:val="00E70AFB"/>
    <w:rsid w:val="00EE4D1D"/>
    <w:rsid w:val="00FB1DE2"/>
    <w:rsid w:val="00FB3184"/>
    <w:rsid w:val="013202B6"/>
    <w:rsid w:val="014850E1"/>
    <w:rsid w:val="03C77625"/>
    <w:rsid w:val="040D7A92"/>
    <w:rsid w:val="04654B7E"/>
    <w:rsid w:val="04876A2C"/>
    <w:rsid w:val="04A76728"/>
    <w:rsid w:val="04EF2002"/>
    <w:rsid w:val="05A831F6"/>
    <w:rsid w:val="05CA1F8A"/>
    <w:rsid w:val="06263AC2"/>
    <w:rsid w:val="06285D29"/>
    <w:rsid w:val="07524795"/>
    <w:rsid w:val="077D2EC5"/>
    <w:rsid w:val="07A331FF"/>
    <w:rsid w:val="08622D91"/>
    <w:rsid w:val="093F5EBD"/>
    <w:rsid w:val="09BC55D5"/>
    <w:rsid w:val="0A2D72F2"/>
    <w:rsid w:val="0A4A1B63"/>
    <w:rsid w:val="0B2823DD"/>
    <w:rsid w:val="0B89625E"/>
    <w:rsid w:val="0C5270DD"/>
    <w:rsid w:val="0D8B27AF"/>
    <w:rsid w:val="0DC7755F"/>
    <w:rsid w:val="0E7F1F78"/>
    <w:rsid w:val="0F220EF1"/>
    <w:rsid w:val="12714EF2"/>
    <w:rsid w:val="127F0FBA"/>
    <w:rsid w:val="12857A2B"/>
    <w:rsid w:val="1383579B"/>
    <w:rsid w:val="13CB5FFB"/>
    <w:rsid w:val="142A55B1"/>
    <w:rsid w:val="14636234"/>
    <w:rsid w:val="14FA302E"/>
    <w:rsid w:val="151D2E38"/>
    <w:rsid w:val="15613E3A"/>
    <w:rsid w:val="159637BE"/>
    <w:rsid w:val="166F0581"/>
    <w:rsid w:val="190B50EC"/>
    <w:rsid w:val="19FB4790"/>
    <w:rsid w:val="1BC220C9"/>
    <w:rsid w:val="1BEB4A25"/>
    <w:rsid w:val="1C441B5D"/>
    <w:rsid w:val="1C9A18FD"/>
    <w:rsid w:val="1CAC5A4A"/>
    <w:rsid w:val="1E6924B3"/>
    <w:rsid w:val="1F600F29"/>
    <w:rsid w:val="202B5A1D"/>
    <w:rsid w:val="205A0666"/>
    <w:rsid w:val="20AA7E3E"/>
    <w:rsid w:val="21F4168E"/>
    <w:rsid w:val="223D03B0"/>
    <w:rsid w:val="223D04A7"/>
    <w:rsid w:val="22E82EB6"/>
    <w:rsid w:val="26052F88"/>
    <w:rsid w:val="27165AA3"/>
    <w:rsid w:val="271B43D4"/>
    <w:rsid w:val="27F531A6"/>
    <w:rsid w:val="29FD282F"/>
    <w:rsid w:val="2DA55DE5"/>
    <w:rsid w:val="2F3057DC"/>
    <w:rsid w:val="304B483E"/>
    <w:rsid w:val="30515ECC"/>
    <w:rsid w:val="32E10837"/>
    <w:rsid w:val="33373FEC"/>
    <w:rsid w:val="338B0149"/>
    <w:rsid w:val="341F7EAC"/>
    <w:rsid w:val="34373C6B"/>
    <w:rsid w:val="35F5085E"/>
    <w:rsid w:val="36046C61"/>
    <w:rsid w:val="376B735D"/>
    <w:rsid w:val="3A2713E4"/>
    <w:rsid w:val="3CC03974"/>
    <w:rsid w:val="3D112F9B"/>
    <w:rsid w:val="3DA51C67"/>
    <w:rsid w:val="3F2C07CA"/>
    <w:rsid w:val="41766CF7"/>
    <w:rsid w:val="41C12609"/>
    <w:rsid w:val="422E7D02"/>
    <w:rsid w:val="42A94EAA"/>
    <w:rsid w:val="446A5E2C"/>
    <w:rsid w:val="46837189"/>
    <w:rsid w:val="471044FC"/>
    <w:rsid w:val="47673E10"/>
    <w:rsid w:val="47766280"/>
    <w:rsid w:val="47D26A61"/>
    <w:rsid w:val="48150392"/>
    <w:rsid w:val="48400FC2"/>
    <w:rsid w:val="498B335F"/>
    <w:rsid w:val="4A6D342F"/>
    <w:rsid w:val="4B0943BC"/>
    <w:rsid w:val="4B8B15F1"/>
    <w:rsid w:val="4C365A00"/>
    <w:rsid w:val="4CF65190"/>
    <w:rsid w:val="4DA06E58"/>
    <w:rsid w:val="4E0F143D"/>
    <w:rsid w:val="4F6A73E1"/>
    <w:rsid w:val="50141750"/>
    <w:rsid w:val="5325573D"/>
    <w:rsid w:val="54330E21"/>
    <w:rsid w:val="54415612"/>
    <w:rsid w:val="54F1288C"/>
    <w:rsid w:val="552A0AEE"/>
    <w:rsid w:val="55703E69"/>
    <w:rsid w:val="56A93F00"/>
    <w:rsid w:val="581F1A3E"/>
    <w:rsid w:val="58356568"/>
    <w:rsid w:val="584D15BC"/>
    <w:rsid w:val="58AD020E"/>
    <w:rsid w:val="5A49376E"/>
    <w:rsid w:val="5B1F0028"/>
    <w:rsid w:val="5BD631BA"/>
    <w:rsid w:val="5BE508A9"/>
    <w:rsid w:val="5D3876A0"/>
    <w:rsid w:val="5EAA38A3"/>
    <w:rsid w:val="5EB21734"/>
    <w:rsid w:val="5EB76E76"/>
    <w:rsid w:val="5EDD61AF"/>
    <w:rsid w:val="5F872A8C"/>
    <w:rsid w:val="5FEA0785"/>
    <w:rsid w:val="61023E22"/>
    <w:rsid w:val="62BF5BAC"/>
    <w:rsid w:val="632D3762"/>
    <w:rsid w:val="638906B4"/>
    <w:rsid w:val="643A04CB"/>
    <w:rsid w:val="644A7E43"/>
    <w:rsid w:val="65B3C5E3"/>
    <w:rsid w:val="66272602"/>
    <w:rsid w:val="66F02910"/>
    <w:rsid w:val="68555008"/>
    <w:rsid w:val="6863247C"/>
    <w:rsid w:val="6A56476A"/>
    <w:rsid w:val="6A8461D3"/>
    <w:rsid w:val="6B963220"/>
    <w:rsid w:val="6C5F6456"/>
    <w:rsid w:val="6C6542EF"/>
    <w:rsid w:val="6C713F62"/>
    <w:rsid w:val="6CF44EB2"/>
    <w:rsid w:val="6D681CD5"/>
    <w:rsid w:val="6D9662E6"/>
    <w:rsid w:val="6FEE010C"/>
    <w:rsid w:val="70991987"/>
    <w:rsid w:val="72334A69"/>
    <w:rsid w:val="74B0404D"/>
    <w:rsid w:val="74D77CB0"/>
    <w:rsid w:val="75805223"/>
    <w:rsid w:val="77D74484"/>
    <w:rsid w:val="783267CC"/>
    <w:rsid w:val="792B1F1E"/>
    <w:rsid w:val="7B4C229B"/>
    <w:rsid w:val="7B6320B7"/>
    <w:rsid w:val="7E4F52B0"/>
    <w:rsid w:val="7E7200FE"/>
    <w:rsid w:val="7FDC0E67"/>
    <w:rsid w:val="7FFFE4D5"/>
    <w:rsid w:val="FEE7A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23">
    <w:name w:val="Default Paragraph Font"/>
    <w:semiHidden/>
    <w:qFormat/>
    <w:uiPriority w:val="0"/>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index 5"/>
    <w:next w:val="1"/>
    <w:qFormat/>
    <w:uiPriority w:val="0"/>
    <w:pPr>
      <w:widowControl w:val="0"/>
      <w:ind w:left="1680"/>
      <w:jc w:val="both"/>
    </w:pPr>
    <w:rPr>
      <w:rFonts w:ascii="仿宋_GB2312" w:hAnsi="Times New Roman" w:eastAsia="仿宋_GB2312" w:cs="Times New Roman"/>
      <w:kern w:val="2"/>
      <w:sz w:val="32"/>
      <w:szCs w:val="32"/>
      <w:lang w:val="en-US" w:eastAsia="zh-CN" w:bidi="ar-SA"/>
    </w:rPr>
  </w:style>
  <w:style w:type="paragraph" w:styleId="12">
    <w:name w:val="Body Text"/>
    <w:basedOn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3">
    <w:name w:val="Body Text Indent"/>
    <w:next w:val="11"/>
    <w:qFormat/>
    <w:uiPriority w:val="0"/>
    <w:pPr>
      <w:widowControl w:val="0"/>
      <w:spacing w:after="120"/>
      <w:ind w:left="420" w:leftChars="200"/>
      <w:jc w:val="both"/>
    </w:pPr>
    <w:rPr>
      <w:rFonts w:ascii="仿宋_GB2312" w:hAnsi="Times New Roman" w:eastAsia="仿宋_GB2312" w:cs="Times New Roman"/>
      <w:kern w:val="2"/>
      <w:sz w:val="32"/>
      <w:szCs w:val="32"/>
      <w:lang w:val="en-US" w:eastAsia="zh-CN" w:bidi="ar-SA"/>
    </w:rPr>
  </w:style>
  <w:style w:type="paragraph" w:styleId="14">
    <w:name w:val="Balloon Text"/>
    <w:basedOn w:val="1"/>
    <w:unhideWhenUsed/>
    <w:qFormat/>
    <w:uiPriority w:val="99"/>
    <w:rPr>
      <w:sz w:val="18"/>
      <w:szCs w:val="18"/>
    </w:r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8">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20">
    <w:name w:val="Body Text First Indent 2"/>
    <w:next w:val="1"/>
    <w:qFormat/>
    <w:uiPriority w:val="0"/>
    <w:pPr>
      <w:widowControl w:val="0"/>
      <w:spacing w:after="120"/>
      <w:ind w:left="200" w:leftChars="200" w:firstLine="200" w:firstLineChars="200"/>
      <w:jc w:val="both"/>
    </w:pPr>
    <w:rPr>
      <w:rFonts w:ascii="Times New Roman" w:hAnsi="Times New Roman" w:eastAsia="宋体" w:cs="Times New Roman"/>
      <w:kern w:val="2"/>
      <w:sz w:val="32"/>
      <w:szCs w:val="32"/>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主送对象"/>
    <w:next w:val="1"/>
    <w:qFormat/>
    <w:uiPriority w:val="0"/>
    <w:pPr>
      <w:spacing w:line="560" w:lineRule="exact"/>
    </w:pPr>
    <w:rPr>
      <w:rFonts w:ascii="仿宋_GB2312" w:hAnsi="仿宋_GB2312" w:eastAsia="仿宋_GB2312" w:cs="仿宋_GB2312"/>
      <w:sz w:val="32"/>
      <w:szCs w:val="32"/>
    </w:rPr>
  </w:style>
  <w:style w:type="paragraph" w:customStyle="1" w:styleId="26">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10</Pages>
  <Words>3955</Words>
  <Characters>3996</Characters>
  <Lines>42</Lines>
  <Paragraphs>11</Paragraphs>
  <TotalTime>12</TotalTime>
  <ScaleCrop>false</ScaleCrop>
  <LinksUpToDate>false</LinksUpToDate>
  <CharactersWithSpaces>4018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2018-05-31T13:11:00Z</dcterms:created>
  <dc:creator>Administrator</dc:creator>
  <cp:lastModifiedBy>哈啦哈啦</cp:lastModifiedBy>
  <cp:lastPrinted>2025-10-31T02:49:00Z</cp:lastPrinted>
  <dcterms:modified xsi:type="dcterms:W3CDTF">2025-11-06T03:01:21Z</dcterms:modified>
  <dc:title>莆田市安全生产监督管理局关于印发《2018年度创建市级文明单位工作计划》的通知</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B5B82CA716CF4B53A41929A03B6B55DD_13</vt:lpwstr>
  </property>
  <property fmtid="{D5CDD505-2E9C-101B-9397-08002B2CF9AE}" pid="4" name="KSOTemplateDocerSaveRecord">
    <vt:lpwstr>eyJoZGlkIjoiNGMyN2VmYzk2ZWY5YjgyYmU0OTQ5YmQxNmU5M2U3OTgiLCJ1c2VySWQiOiIyMjgxMzkwODgifQ==</vt:lpwstr>
  </property>
</Properties>
</file>